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447" w14:textId="26D2D508" w:rsidR="00AA06D4" w:rsidRDefault="00AA06D4" w:rsidP="00AA06D4">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Energy Technical Advisory Committee – Errata</w:t>
      </w:r>
      <w:r w:rsidR="001922F7">
        <w:rPr>
          <w:rFonts w:asciiTheme="minorHAnsi" w:eastAsiaTheme="minorHAnsi" w:hAnsiTheme="minorHAnsi" w:cstheme="minorBidi"/>
          <w:b/>
          <w:sz w:val="28"/>
          <w:szCs w:val="28"/>
        </w:rPr>
        <w:t xml:space="preserve">/Glitch </w:t>
      </w:r>
    </w:p>
    <w:p w14:paraId="04E7224E" w14:textId="372C9D5F" w:rsidR="00AA06D4" w:rsidRDefault="00AA06D4" w:rsidP="00AA06D4">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Energy Conservation  </w:t>
      </w:r>
    </w:p>
    <w:bookmarkEnd w:id="0"/>
    <w:p w14:paraId="321BBD37" w14:textId="77777777" w:rsidR="00AA06D4" w:rsidRDefault="00AA06D4" w:rsidP="00AA06D4">
      <w:pPr>
        <w:widowControl/>
        <w:autoSpaceDE/>
        <w:rPr>
          <w:rFonts w:ascii="Arial" w:eastAsia="Calibri" w:hAnsi="Arial" w:cs="Arial"/>
          <w:b/>
          <w:bCs/>
          <w:sz w:val="24"/>
          <w:szCs w:val="24"/>
        </w:rPr>
      </w:pPr>
    </w:p>
    <w:p w14:paraId="27066C2D" w14:textId="618BC0F6" w:rsidR="005E63E4" w:rsidRPr="005E63E4" w:rsidRDefault="005E63E4" w:rsidP="005E63E4">
      <w:pPr>
        <w:widowControl/>
        <w:adjustRightInd w:val="0"/>
        <w:rPr>
          <w:rFonts w:eastAsiaTheme="minorHAnsi"/>
          <w:color w:val="FF0000"/>
          <w14:ligatures w14:val="standardContextual"/>
        </w:rPr>
      </w:pPr>
      <w:r w:rsidRPr="005E63E4">
        <w:rPr>
          <w:rFonts w:ascii="Arial,Bold" w:eastAsiaTheme="minorHAnsi" w:hAnsi="Arial,Bold" w:cs="Arial,Bold"/>
          <w:b/>
          <w:bCs/>
          <w14:ligatures w14:val="standardContextual"/>
        </w:rPr>
        <w:t>CHAPTER 4 [CE] COMMERCIAL ENERGY EFFICIENCY</w:t>
      </w:r>
    </w:p>
    <w:p w14:paraId="4D27A287" w14:textId="77777777" w:rsidR="005E63E4" w:rsidRDefault="005E63E4" w:rsidP="00B45751">
      <w:pPr>
        <w:widowControl/>
        <w:adjustRightInd w:val="0"/>
        <w:rPr>
          <w:rFonts w:eastAsiaTheme="minorHAnsi"/>
          <w:color w:val="FF0000"/>
          <w14:ligatures w14:val="standardContextual"/>
        </w:rPr>
      </w:pPr>
    </w:p>
    <w:p w14:paraId="52D207EE" w14:textId="238AEA71" w:rsidR="00C93092" w:rsidRDefault="00C93092" w:rsidP="00B45751">
      <w:pPr>
        <w:widowControl/>
        <w:adjustRightInd w:val="0"/>
        <w:rPr>
          <w:rFonts w:eastAsiaTheme="minorHAnsi"/>
          <w:color w:val="FF0000"/>
          <w14:ligatures w14:val="standardContextual"/>
        </w:rPr>
      </w:pPr>
      <w:bookmarkStart w:id="1" w:name="_Hlk147924698"/>
      <w:r w:rsidRPr="005E63E4">
        <w:rPr>
          <w:rFonts w:eastAsiaTheme="minorHAnsi"/>
          <w:color w:val="FF0000"/>
          <w14:ligatures w14:val="standardContextual"/>
        </w:rPr>
        <w:t>EN-FBC-EC/</w:t>
      </w:r>
      <w:r w:rsidR="005E63E4" w:rsidRPr="005E63E4">
        <w:rPr>
          <w:rFonts w:eastAsiaTheme="minorHAnsi"/>
          <w:color w:val="FF0000"/>
          <w14:ligatures w14:val="standardContextual"/>
        </w:rPr>
        <w:t>C</w:t>
      </w:r>
      <w:r w:rsidR="009466DA">
        <w:rPr>
          <w:rFonts w:eastAsiaTheme="minorHAnsi"/>
          <w:color w:val="FF0000"/>
          <w14:ligatures w14:val="standardContextual"/>
        </w:rPr>
        <w:t xml:space="preserve"> – Ch.4</w:t>
      </w:r>
      <w:r w:rsidR="005E63E4" w:rsidRPr="005E63E4">
        <w:rPr>
          <w:rFonts w:eastAsiaTheme="minorHAnsi"/>
          <w:color w:val="FF0000"/>
          <w14:ligatures w14:val="standardContextual"/>
        </w:rPr>
        <w:t xml:space="preserve"> – Errata </w:t>
      </w:r>
      <w:r w:rsidR="00273243">
        <w:rPr>
          <w:rFonts w:eastAsiaTheme="minorHAnsi"/>
          <w:color w:val="FF0000"/>
          <w14:ligatures w14:val="standardContextual"/>
        </w:rPr>
        <w:t>#1</w:t>
      </w:r>
    </w:p>
    <w:bookmarkEnd w:id="1"/>
    <w:p w14:paraId="4A58E4CE" w14:textId="77777777" w:rsidR="005E63E4" w:rsidRDefault="005E63E4" w:rsidP="00B45751">
      <w:pPr>
        <w:widowControl/>
        <w:adjustRightInd w:val="0"/>
        <w:rPr>
          <w:rFonts w:eastAsiaTheme="minorHAnsi"/>
          <w:color w:val="FF0000"/>
          <w14:ligatures w14:val="standardContextual"/>
        </w:rPr>
      </w:pPr>
    </w:p>
    <w:p w14:paraId="4CC26293" w14:textId="605BE979" w:rsidR="005E63E4" w:rsidRPr="00C81799" w:rsidRDefault="005E63E4" w:rsidP="005E63E4">
      <w:pPr>
        <w:rPr>
          <w:rFonts w:ascii="Verdana" w:hAnsi="Verdana"/>
          <w:b/>
          <w:bCs/>
          <w:sz w:val="20"/>
          <w:szCs w:val="20"/>
        </w:rPr>
      </w:pPr>
      <w:r w:rsidRPr="00C81799">
        <w:rPr>
          <w:rFonts w:ascii="Verdana" w:hAnsi="Verdana"/>
          <w:b/>
          <w:bCs/>
          <w:sz w:val="20"/>
          <w:szCs w:val="20"/>
        </w:rPr>
        <w:t>Timothy G. de Carion</w:t>
      </w:r>
      <w:r w:rsidR="00C81799" w:rsidRPr="00C81799">
        <w:rPr>
          <w:rFonts w:ascii="Verdana" w:hAnsi="Verdana"/>
          <w:b/>
          <w:bCs/>
          <w:sz w:val="20"/>
          <w:szCs w:val="20"/>
        </w:rPr>
        <w:t xml:space="preserve"> – Broward County </w:t>
      </w:r>
    </w:p>
    <w:p w14:paraId="1329FE04" w14:textId="77777777" w:rsidR="005E63E4" w:rsidRPr="005E63E4" w:rsidRDefault="005E63E4" w:rsidP="00B45751">
      <w:pPr>
        <w:widowControl/>
        <w:adjustRightInd w:val="0"/>
        <w:rPr>
          <w:rFonts w:eastAsiaTheme="minorHAnsi"/>
          <w:color w:val="FF0000"/>
          <w14:ligatures w14:val="standardContextual"/>
        </w:rPr>
      </w:pPr>
    </w:p>
    <w:p w14:paraId="358FB29C" w14:textId="77777777" w:rsidR="005E63E4" w:rsidRDefault="005E63E4" w:rsidP="005E63E4"/>
    <w:p w14:paraId="0B9F30BA" w14:textId="4D78FD06" w:rsidR="005E63E4" w:rsidRDefault="005E63E4" w:rsidP="005E63E4">
      <w:r>
        <w:t>Hi Mo:</w:t>
      </w:r>
    </w:p>
    <w:p w14:paraId="751D0EE2" w14:textId="77777777" w:rsidR="005E63E4" w:rsidRDefault="005E63E4" w:rsidP="005E63E4"/>
    <w:p w14:paraId="76D0E098" w14:textId="77777777" w:rsidR="005E63E4" w:rsidRDefault="005E63E4" w:rsidP="005E63E4">
      <w:r>
        <w:t xml:space="preserve">I found a typo in the 2023 Florida energy code posted on the </w:t>
      </w:r>
      <w:proofErr w:type="spellStart"/>
      <w:r>
        <w:t>icc</w:t>
      </w:r>
      <w:proofErr w:type="spellEnd"/>
      <w:r>
        <w:t xml:space="preserve"> site. You might have caught it already.</w:t>
      </w:r>
    </w:p>
    <w:p w14:paraId="46452805" w14:textId="77777777" w:rsidR="005E63E4" w:rsidRDefault="005E63E4" w:rsidP="005E63E4"/>
    <w:p w14:paraId="444DED25" w14:textId="4118BC72" w:rsidR="005E63E4" w:rsidRDefault="005E63E4" w:rsidP="005E63E4">
      <w:pPr>
        <w:widowControl/>
        <w:adjustRightInd w:val="0"/>
      </w:pPr>
      <w:r>
        <w:t>Number on the attached should be an 11 and not a 10 for the electrical boxes</w:t>
      </w:r>
      <w:r w:rsidR="00C81799">
        <w:t>.</w:t>
      </w:r>
    </w:p>
    <w:p w14:paraId="0A4BD6EB" w14:textId="77777777" w:rsidR="00C81799" w:rsidRDefault="00C81799" w:rsidP="005E63E4">
      <w:pPr>
        <w:widowControl/>
        <w:adjustRightInd w:val="0"/>
      </w:pPr>
    </w:p>
    <w:p w14:paraId="46CF431F" w14:textId="77777777" w:rsidR="007E0C3F" w:rsidRDefault="007E0C3F" w:rsidP="007E0C3F">
      <w:pPr>
        <w:pStyle w:val="PlainText"/>
      </w:pPr>
    </w:p>
    <w:p w14:paraId="184EEA09" w14:textId="3385D2B8" w:rsidR="007E0C3F" w:rsidRDefault="007E0C3F" w:rsidP="007E0C3F">
      <w:pPr>
        <w:rPr>
          <w:b/>
          <w:bCs/>
          <w:color w:val="000000" w:themeColor="text1"/>
        </w:rPr>
      </w:pPr>
      <w:r>
        <w:rPr>
          <w:b/>
          <w:bCs/>
          <w:color w:val="000000" w:themeColor="text1"/>
        </w:rPr>
        <w:t>Propose</w:t>
      </w:r>
      <w:r w:rsidR="00E72BFE">
        <w:rPr>
          <w:b/>
          <w:bCs/>
          <w:color w:val="000000" w:themeColor="text1"/>
        </w:rPr>
        <w:t>d</w:t>
      </w:r>
      <w:r>
        <w:rPr>
          <w:b/>
          <w:bCs/>
          <w:color w:val="000000" w:themeColor="text1"/>
        </w:rPr>
        <w:t xml:space="preserve"> fix by staff:</w:t>
      </w:r>
    </w:p>
    <w:p w14:paraId="745BE034" w14:textId="77777777" w:rsidR="007E0C3F" w:rsidRDefault="007E0C3F" w:rsidP="007E0C3F">
      <w:pPr>
        <w:rPr>
          <w:b/>
          <w:bCs/>
          <w:color w:val="000000" w:themeColor="text1"/>
        </w:rPr>
      </w:pPr>
    </w:p>
    <w:p w14:paraId="5435583A" w14:textId="77777777" w:rsidR="007E0C3F" w:rsidRDefault="007E0C3F" w:rsidP="007E0C3F">
      <w:pPr>
        <w:rPr>
          <w:b/>
          <w:bCs/>
          <w:color w:val="000000" w:themeColor="text1"/>
        </w:rPr>
      </w:pPr>
    </w:p>
    <w:p w14:paraId="5DA5C31E" w14:textId="4A4A779A"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 Electrical and communication boxes. </w:t>
      </w:r>
      <w:r>
        <w:rPr>
          <w:rFonts w:ascii="TimesNewRoman" w:eastAsiaTheme="minorHAnsi" w:hAnsi="TimesNewRoman" w:cs="TimesNewRoman"/>
          <w:sz w:val="20"/>
          <w:szCs w:val="20"/>
          <w14:ligatures w14:val="standardContextual"/>
        </w:rPr>
        <w:t xml:space="preserve">Electrical and communication boxes that penetrate the air </w:t>
      </w:r>
      <w:proofErr w:type="gramStart"/>
      <w:r>
        <w:rPr>
          <w:rFonts w:ascii="TimesNewRoman" w:eastAsiaTheme="minorHAnsi" w:hAnsi="TimesNewRoman" w:cs="TimesNewRoman"/>
          <w:sz w:val="20"/>
          <w:szCs w:val="20"/>
          <w14:ligatures w14:val="standardContextual"/>
        </w:rPr>
        <w:t>barrier</w:t>
      </w:r>
      <w:proofErr w:type="gramEnd"/>
    </w:p>
    <w:p w14:paraId="47DD66C6" w14:textId="288B5961"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of the building thermal envelope, and that do not comply with Section C402.5.</w:t>
      </w:r>
      <w:r w:rsidRPr="007E0C3F">
        <w:rPr>
          <w:rFonts w:ascii="TimesNewRoman" w:eastAsiaTheme="minorHAnsi" w:hAnsi="TimesNewRoman" w:cs="TimesNewRoman"/>
          <w:strike/>
          <w:sz w:val="20"/>
          <w:szCs w:val="20"/>
          <w14:ligatures w14:val="standardContextual"/>
        </w:rPr>
        <w:t>11</w:t>
      </w:r>
      <w:r w:rsidRPr="007E0C3F">
        <w:rPr>
          <w:rFonts w:ascii="TimesNewRoman" w:eastAsiaTheme="minorHAnsi" w:hAnsi="TimesNewRoman" w:cs="TimesNewRoman"/>
          <w:sz w:val="20"/>
          <w:szCs w:val="20"/>
          <w:u w:val="single"/>
          <w14:ligatures w14:val="standardContextual"/>
        </w:rPr>
        <w:t>10</w:t>
      </w:r>
      <w:r>
        <w:rPr>
          <w:rFonts w:ascii="TimesNewRoman" w:eastAsiaTheme="minorHAnsi" w:hAnsi="TimesNewRoman" w:cs="TimesNewRoman"/>
          <w:sz w:val="20"/>
          <w:szCs w:val="20"/>
          <w14:ligatures w14:val="standardContextual"/>
        </w:rPr>
        <w:t>.1, shall be caulked, taped, gasketed or otherwise sealed to the air barrier element being penetrated. All openings on the concealed portion of the</w:t>
      </w:r>
    </w:p>
    <w:p w14:paraId="44D6F13B" w14:textId="358D5582"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box shall be sealed. Where present, insulation shall rest against all concealed portions of the box.</w:t>
      </w:r>
    </w:p>
    <w:p w14:paraId="0E451CF5" w14:textId="77777777" w:rsidR="007E0C3F" w:rsidRDefault="007E0C3F" w:rsidP="007E0C3F">
      <w:pPr>
        <w:widowControl/>
        <w:adjustRightInd w:val="0"/>
        <w:rPr>
          <w:rFonts w:ascii="TimesNewRoman" w:eastAsiaTheme="minorHAnsi" w:hAnsi="TimesNewRoman" w:cs="TimesNewRoman"/>
          <w:sz w:val="20"/>
          <w:szCs w:val="20"/>
          <w14:ligatures w14:val="standardContextual"/>
        </w:rPr>
      </w:pPr>
    </w:p>
    <w:p w14:paraId="385BB92B" w14:textId="728C5E05"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C402.5.10.1 Air-sealed boxes. </w:t>
      </w:r>
      <w:r>
        <w:rPr>
          <w:rFonts w:ascii="TimesNewRoman" w:eastAsiaTheme="minorHAnsi" w:hAnsi="TimesNewRoman" w:cs="TimesNewRoman"/>
          <w:sz w:val="20"/>
          <w:szCs w:val="20"/>
          <w14:ligatures w14:val="standardContextual"/>
        </w:rPr>
        <w:t>Where air-sealed boxes are installed, they shall be marked in accordance with</w:t>
      </w:r>
    </w:p>
    <w:p w14:paraId="5416E74C" w14:textId="2DEB96C5" w:rsidR="00C81799"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NEMA OS 4. Air-sealed boxes shall be installed in accordance with the manufacturer’s instructions.</w:t>
      </w:r>
    </w:p>
    <w:p w14:paraId="67429B5D" w14:textId="77777777" w:rsidR="000C5810" w:rsidRDefault="000C5810" w:rsidP="007E0C3F">
      <w:pPr>
        <w:widowControl/>
        <w:adjustRightInd w:val="0"/>
        <w:rPr>
          <w:rFonts w:ascii="TimesNewRoman" w:eastAsiaTheme="minorHAnsi" w:hAnsi="TimesNewRoman" w:cs="TimesNewRoman"/>
          <w:sz w:val="20"/>
          <w:szCs w:val="20"/>
          <w14:ligatures w14:val="standardContextual"/>
        </w:rPr>
      </w:pPr>
    </w:p>
    <w:p w14:paraId="3517CF87" w14:textId="77777777" w:rsidR="000C5810" w:rsidRPr="00DD108E" w:rsidRDefault="000C5810" w:rsidP="000C5810">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6D815046" w14:textId="77777777" w:rsidR="000C5810" w:rsidRPr="00DD108E" w:rsidRDefault="000C5810" w:rsidP="000C5810">
      <w:pPr>
        <w:rPr>
          <w:rFonts w:ascii="TimesNewRoman" w:eastAsiaTheme="minorHAnsi" w:hAnsi="TimesNewRoman" w:cs="TimesNewRoman"/>
          <w:sz w:val="20"/>
          <w:szCs w:val="20"/>
          <w14:ligatures w14:val="standardContextual"/>
        </w:rPr>
      </w:pPr>
    </w:p>
    <w:p w14:paraId="14F16C4B"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CD42B3A" w14:textId="77777777" w:rsidR="000C5810" w:rsidRDefault="000C5810" w:rsidP="000C5810">
      <w:pPr>
        <w:rPr>
          <w:rFonts w:ascii="TimesNewRoman" w:eastAsiaTheme="minorHAnsi" w:hAnsi="TimesNewRoman" w:cs="TimesNewRoman"/>
          <w:b/>
          <w:bCs/>
          <w:sz w:val="18"/>
          <w:szCs w:val="18"/>
          <w14:ligatures w14:val="standardContextual"/>
        </w:rPr>
      </w:pPr>
    </w:p>
    <w:p w14:paraId="794C37C5" w14:textId="77777777" w:rsidR="00C93092" w:rsidRDefault="00C93092" w:rsidP="00B45751">
      <w:pPr>
        <w:widowControl/>
        <w:adjustRightInd w:val="0"/>
        <w:rPr>
          <w:rFonts w:ascii="Arial,Bold" w:eastAsiaTheme="minorHAnsi" w:hAnsi="Arial,Bold" w:cs="Arial,Bold"/>
          <w:b/>
          <w:bCs/>
          <w14:ligatures w14:val="standardContextual"/>
        </w:rPr>
      </w:pPr>
    </w:p>
    <w:p w14:paraId="4356DDA8" w14:textId="77777777" w:rsidR="00F319E9" w:rsidRDefault="00F319E9" w:rsidP="00F319E9">
      <w:pPr>
        <w:rPr>
          <w:rFonts w:ascii="TimesNewRoman" w:eastAsiaTheme="minorHAnsi" w:hAnsi="TimesNewRoman" w:cs="TimesNewRoman"/>
          <w:b/>
          <w:bCs/>
          <w:color w:val="FF0000"/>
          <w:sz w:val="20"/>
          <w:szCs w:val="20"/>
          <w:u w:val="single"/>
        </w:rPr>
      </w:pPr>
      <w:bookmarkStart w:id="2" w:name="_Hlk153732316"/>
      <w:r>
        <w:rPr>
          <w:rFonts w:ascii="TimesNewRoman" w:eastAsiaTheme="minorHAnsi" w:hAnsi="TimesNewRoman" w:cs="TimesNewRoman"/>
          <w:b/>
          <w:bCs/>
          <w:color w:val="FF0000"/>
          <w:sz w:val="20"/>
          <w:szCs w:val="20"/>
          <w:u w:val="single"/>
        </w:rPr>
        <w:t xml:space="preserve">Comment – </w:t>
      </w:r>
    </w:p>
    <w:p w14:paraId="76824839" w14:textId="77777777" w:rsidR="00F319E9" w:rsidRDefault="00F319E9" w:rsidP="00F319E9">
      <w:pPr>
        <w:rPr>
          <w:rFonts w:ascii="TimesNewRoman" w:eastAsiaTheme="minorHAnsi" w:hAnsi="TimesNewRoman" w:cs="TimesNewRoman"/>
          <w:b/>
          <w:bCs/>
          <w:color w:val="FF0000"/>
          <w:sz w:val="20"/>
          <w:szCs w:val="20"/>
          <w:u w:val="single"/>
        </w:rPr>
      </w:pPr>
    </w:p>
    <w:p w14:paraId="7F19BCDF" w14:textId="77777777" w:rsidR="00F319E9" w:rsidRDefault="00F319E9" w:rsidP="00F319E9">
      <w:pPr>
        <w:rPr>
          <w:b/>
          <w:bCs/>
        </w:rPr>
      </w:pPr>
      <w:r>
        <w:rPr>
          <w:b/>
          <w:bCs/>
        </w:rPr>
        <w:t>BOAF Building Officials Association of Florida CDC Code Development Committee</w:t>
      </w:r>
    </w:p>
    <w:bookmarkEnd w:id="2"/>
    <w:p w14:paraId="196FB51E" w14:textId="77777777" w:rsidR="00F319E9" w:rsidRDefault="00F319E9" w:rsidP="00F319E9">
      <w:pPr>
        <w:rPr>
          <w:b/>
          <w:bCs/>
        </w:rPr>
      </w:pPr>
    </w:p>
    <w:p w14:paraId="2EE01702" w14:textId="77777777" w:rsidR="00F319E9" w:rsidRDefault="00F319E9" w:rsidP="00F319E9">
      <w:pPr>
        <w:rPr>
          <w:b/>
          <w:bCs/>
        </w:rPr>
      </w:pPr>
      <w:r>
        <w:rPr>
          <w:b/>
          <w:bCs/>
        </w:rPr>
        <w:t>Proposal:</w:t>
      </w:r>
      <w:r>
        <w:rPr>
          <w:b/>
          <w:bCs/>
        </w:rPr>
        <w:tab/>
      </w:r>
      <w:r>
        <w:rPr>
          <w:b/>
          <w:bCs/>
        </w:rPr>
        <w:tab/>
        <w:t>Typo change 11 to 10</w:t>
      </w:r>
    </w:p>
    <w:p w14:paraId="65DF6EE8" w14:textId="77777777" w:rsidR="00F319E9" w:rsidRDefault="00F319E9" w:rsidP="00F319E9">
      <w:pPr>
        <w:rPr>
          <w:b/>
          <w:bCs/>
        </w:rPr>
      </w:pPr>
      <w:r>
        <w:rPr>
          <w:b/>
          <w:bCs/>
        </w:rPr>
        <w:t>Comment:</w:t>
      </w:r>
      <w:r>
        <w:rPr>
          <w:b/>
          <w:bCs/>
        </w:rPr>
        <w:tab/>
      </w:r>
      <w:r>
        <w:rPr>
          <w:b/>
          <w:bCs/>
        </w:rPr>
        <w:tab/>
        <w:t>Needed correction</w:t>
      </w:r>
      <w:r>
        <w:rPr>
          <w:b/>
          <w:bCs/>
        </w:rPr>
        <w:tab/>
      </w:r>
    </w:p>
    <w:p w14:paraId="47AEA98D" w14:textId="77777777" w:rsidR="00F319E9" w:rsidRDefault="00F319E9" w:rsidP="00F319E9">
      <w:r>
        <w:rPr>
          <w:b/>
          <w:bCs/>
        </w:rPr>
        <w:t>Approve/Oppose:</w:t>
      </w:r>
      <w:r>
        <w:rPr>
          <w:b/>
          <w:bCs/>
        </w:rPr>
        <w:tab/>
      </w:r>
      <w:r w:rsidRPr="00467F79">
        <w:rPr>
          <w:b/>
          <w:bCs/>
          <w:highlight w:val="yellow"/>
        </w:rPr>
        <w:t>Approve</w:t>
      </w:r>
    </w:p>
    <w:p w14:paraId="433073AB" w14:textId="77777777" w:rsidR="00F319E9" w:rsidRDefault="00F319E9" w:rsidP="00B45751">
      <w:pPr>
        <w:widowControl/>
        <w:adjustRightInd w:val="0"/>
        <w:rPr>
          <w:rFonts w:ascii="Arial,Bold" w:eastAsiaTheme="minorHAnsi" w:hAnsi="Arial,Bold" w:cs="Arial,Bold"/>
          <w:b/>
          <w:bCs/>
          <w14:ligatures w14:val="standardContextual"/>
        </w:rPr>
      </w:pPr>
    </w:p>
    <w:p w14:paraId="28D07A57" w14:textId="77777777" w:rsidR="00F319E9" w:rsidRDefault="00F319E9" w:rsidP="003632A7">
      <w:pPr>
        <w:widowControl/>
        <w:adjustRightInd w:val="0"/>
        <w:rPr>
          <w:rFonts w:eastAsiaTheme="minorHAnsi"/>
          <w:color w:val="FF0000"/>
          <w14:ligatures w14:val="standardContextual"/>
        </w:rPr>
      </w:pPr>
      <w:bookmarkStart w:id="3" w:name="_Hlk147933695"/>
    </w:p>
    <w:p w14:paraId="254C0C8F" w14:textId="4CEC85A9" w:rsidR="003632A7" w:rsidRDefault="003632A7" w:rsidP="003632A7">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Errata</w:t>
      </w:r>
      <w:bookmarkEnd w:id="3"/>
      <w:r w:rsidR="00273243">
        <w:rPr>
          <w:rFonts w:eastAsiaTheme="minorHAnsi"/>
          <w:color w:val="FF0000"/>
          <w14:ligatures w14:val="standardContextual"/>
        </w:rPr>
        <w:t xml:space="preserve"> #2</w:t>
      </w:r>
    </w:p>
    <w:p w14:paraId="6A873E6C" w14:textId="77777777" w:rsidR="003632A7" w:rsidRDefault="003632A7" w:rsidP="003632A7">
      <w:pPr>
        <w:widowControl/>
        <w:adjustRightInd w:val="0"/>
        <w:rPr>
          <w:rFonts w:eastAsiaTheme="minorHAnsi"/>
          <w:color w:val="FF0000"/>
          <w14:ligatures w14:val="standardContextual"/>
        </w:rPr>
      </w:pPr>
    </w:p>
    <w:p w14:paraId="03D912B7" w14:textId="00D4DDE9" w:rsidR="003632A7" w:rsidRDefault="003632A7" w:rsidP="003632A7">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168D4EC6" w14:textId="77777777" w:rsidR="003632A7" w:rsidRDefault="003632A7" w:rsidP="003632A7">
      <w:pPr>
        <w:widowControl/>
        <w:adjustRightInd w:val="0"/>
        <w:rPr>
          <w:rFonts w:eastAsiaTheme="minorHAnsi"/>
          <w:b/>
          <w:bCs/>
          <w14:ligatures w14:val="standardContextual"/>
        </w:rPr>
      </w:pPr>
    </w:p>
    <w:p w14:paraId="3C141958" w14:textId="6BFD901A" w:rsidR="003632A7" w:rsidRDefault="0072164D" w:rsidP="003632A7">
      <w:pPr>
        <w:widowControl/>
        <w:adjustRightInd w:val="0"/>
        <w:rPr>
          <w:bCs/>
          <w:sz w:val="20"/>
          <w:szCs w:val="20"/>
        </w:rPr>
      </w:pPr>
      <w:r w:rsidRPr="00FA653B">
        <w:rPr>
          <w:bCs/>
          <w:sz w:val="20"/>
          <w:szCs w:val="20"/>
        </w:rPr>
        <w:t>C403.2.3 HVAC equipment</w:t>
      </w:r>
      <w:r>
        <w:rPr>
          <w:bCs/>
          <w:sz w:val="20"/>
          <w:szCs w:val="20"/>
        </w:rPr>
        <w:t xml:space="preserve"> </w:t>
      </w:r>
      <w:r w:rsidRPr="00FA653B">
        <w:rPr>
          <w:bCs/>
          <w:sz w:val="20"/>
          <w:szCs w:val="20"/>
        </w:rPr>
        <w:t>performance requirements</w:t>
      </w:r>
    </w:p>
    <w:p w14:paraId="5BC4A00E" w14:textId="77777777" w:rsidR="0072164D" w:rsidRDefault="0072164D" w:rsidP="003632A7">
      <w:pPr>
        <w:widowControl/>
        <w:adjustRightInd w:val="0"/>
        <w:rPr>
          <w:bCs/>
          <w:sz w:val="20"/>
          <w:szCs w:val="20"/>
        </w:rPr>
      </w:pPr>
    </w:p>
    <w:p w14:paraId="423C3B0B" w14:textId="40C7F33A" w:rsidR="0072164D" w:rsidRDefault="0072164D" w:rsidP="003632A7">
      <w:pPr>
        <w:widowControl/>
        <w:adjustRightInd w:val="0"/>
        <w:rPr>
          <w:sz w:val="20"/>
          <w:szCs w:val="20"/>
        </w:rPr>
      </w:pPr>
      <w:r w:rsidRPr="00FA653B">
        <w:rPr>
          <w:sz w:val="20"/>
          <w:szCs w:val="20"/>
        </w:rPr>
        <w:t xml:space="preserve">Minimum efficiency requirements for liquid-to-liquid plate HX </w:t>
      </w:r>
      <w:r>
        <w:rPr>
          <w:sz w:val="20"/>
          <w:szCs w:val="20"/>
        </w:rPr>
        <w:t>T</w:t>
      </w:r>
      <w:r w:rsidRPr="00FA653B">
        <w:rPr>
          <w:sz w:val="20"/>
          <w:szCs w:val="20"/>
        </w:rPr>
        <w:t>able C403.2.3(10) is referenced twice.</w:t>
      </w:r>
    </w:p>
    <w:p w14:paraId="497DBADC" w14:textId="77777777" w:rsidR="005B5300" w:rsidRDefault="005B5300" w:rsidP="003632A7">
      <w:pPr>
        <w:widowControl/>
        <w:adjustRightInd w:val="0"/>
        <w:rPr>
          <w:sz w:val="20"/>
          <w:szCs w:val="20"/>
        </w:rPr>
      </w:pPr>
    </w:p>
    <w:p w14:paraId="0D56BC24" w14:textId="5EE04AA8" w:rsidR="005B5300" w:rsidRPr="003632A7" w:rsidRDefault="005B5300" w:rsidP="005B5300">
      <w:pPr>
        <w:widowControl/>
        <w:adjustRightInd w:val="0"/>
        <w:rPr>
          <w:rFonts w:eastAsiaTheme="minorHAnsi"/>
          <w:b/>
          <w:bCs/>
          <w14:ligatures w14:val="standardContextual"/>
        </w:rPr>
      </w:pPr>
      <w:r>
        <w:rPr>
          <w:sz w:val="20"/>
          <w:szCs w:val="20"/>
        </w:rPr>
        <w:t xml:space="preserve">Anyways </w:t>
      </w:r>
      <w:r w:rsidRPr="00FA653B">
        <w:rPr>
          <w:sz w:val="20"/>
          <w:szCs w:val="20"/>
        </w:rPr>
        <w:t xml:space="preserve">minimum efficiency </w:t>
      </w:r>
      <w:r>
        <w:rPr>
          <w:sz w:val="20"/>
          <w:szCs w:val="20"/>
        </w:rPr>
        <w:t>is Not R</w:t>
      </w:r>
      <w:r w:rsidRPr="00FA653B">
        <w:rPr>
          <w:sz w:val="20"/>
          <w:szCs w:val="20"/>
        </w:rPr>
        <w:t>equire</w:t>
      </w:r>
      <w:r>
        <w:rPr>
          <w:sz w:val="20"/>
          <w:szCs w:val="20"/>
        </w:rPr>
        <w:t>d (NR) for this equipment per Table C403.2.3(10)</w:t>
      </w:r>
      <w:r w:rsidRPr="00FA653B">
        <w:rPr>
          <w:sz w:val="20"/>
          <w:szCs w:val="20"/>
        </w:rPr>
        <w:t>.</w:t>
      </w:r>
    </w:p>
    <w:p w14:paraId="46509D41" w14:textId="77777777" w:rsidR="0072164D" w:rsidRDefault="0072164D" w:rsidP="003632A7">
      <w:pPr>
        <w:widowControl/>
        <w:adjustRightInd w:val="0"/>
        <w:rPr>
          <w:sz w:val="20"/>
          <w:szCs w:val="20"/>
        </w:rPr>
      </w:pPr>
    </w:p>
    <w:p w14:paraId="7B9BC21F" w14:textId="2FF1AFF1" w:rsidR="0072164D" w:rsidRPr="0072164D" w:rsidRDefault="0072164D" w:rsidP="0072164D">
      <w:pPr>
        <w:adjustRightInd w:val="0"/>
        <w:rPr>
          <w:b/>
          <w:bCs/>
          <w:sz w:val="20"/>
          <w:szCs w:val="20"/>
        </w:rPr>
      </w:pPr>
      <w:r w:rsidRPr="0072164D">
        <w:rPr>
          <w:b/>
          <w:bCs/>
          <w:sz w:val="20"/>
          <w:szCs w:val="20"/>
        </w:rPr>
        <w:t>Propose</w:t>
      </w:r>
      <w:r w:rsidR="00E72BFE">
        <w:rPr>
          <w:b/>
          <w:bCs/>
          <w:sz w:val="20"/>
          <w:szCs w:val="20"/>
        </w:rPr>
        <w:t>d</w:t>
      </w:r>
      <w:r w:rsidRPr="0072164D">
        <w:rPr>
          <w:b/>
          <w:bCs/>
          <w:sz w:val="20"/>
          <w:szCs w:val="20"/>
        </w:rPr>
        <w:t xml:space="preserve"> fix:</w:t>
      </w:r>
    </w:p>
    <w:p w14:paraId="595CC076" w14:textId="77777777" w:rsidR="0072164D" w:rsidRDefault="0072164D" w:rsidP="0072164D">
      <w:pPr>
        <w:adjustRightInd w:val="0"/>
        <w:rPr>
          <w:sz w:val="20"/>
          <w:szCs w:val="20"/>
        </w:rPr>
      </w:pPr>
    </w:p>
    <w:p w14:paraId="6EA85EE8" w14:textId="23C1A657" w:rsidR="0072164D" w:rsidRDefault="0072164D" w:rsidP="0072164D">
      <w:pPr>
        <w:adjustRightInd w:val="0"/>
        <w:rPr>
          <w:sz w:val="20"/>
          <w:szCs w:val="20"/>
        </w:rPr>
      </w:pPr>
      <w:r w:rsidRPr="00FA653B">
        <w:rPr>
          <w:sz w:val="20"/>
          <w:szCs w:val="20"/>
        </w:rPr>
        <w:t>Delete “</w:t>
      </w:r>
      <w:r w:rsidRPr="00477C0A">
        <w:rPr>
          <w:i/>
          <w:color w:val="FF0000"/>
          <w:sz w:val="20"/>
          <w:szCs w:val="20"/>
        </w:rPr>
        <w:t>Plate-type liquid-to-liquid heat exchangers shall meet the minimum</w:t>
      </w:r>
      <w:r>
        <w:rPr>
          <w:i/>
          <w:color w:val="FF0000"/>
          <w:sz w:val="20"/>
          <w:szCs w:val="20"/>
        </w:rPr>
        <w:t xml:space="preserve"> </w:t>
      </w:r>
      <w:r w:rsidRPr="00477C0A">
        <w:rPr>
          <w:i/>
          <w:color w:val="FF0000"/>
          <w:sz w:val="20"/>
          <w:szCs w:val="20"/>
        </w:rPr>
        <w:t>requirements of Table C403.2.3(10)</w:t>
      </w:r>
      <w:r w:rsidRPr="00FA653B">
        <w:rPr>
          <w:sz w:val="20"/>
          <w:szCs w:val="20"/>
        </w:rPr>
        <w:t xml:space="preserve">”. </w:t>
      </w:r>
    </w:p>
    <w:p w14:paraId="4C4DD820" w14:textId="77777777" w:rsidR="0072164D" w:rsidRDefault="0072164D" w:rsidP="0072164D">
      <w:pPr>
        <w:rPr>
          <w:sz w:val="20"/>
          <w:szCs w:val="20"/>
        </w:rPr>
      </w:pPr>
    </w:p>
    <w:p w14:paraId="698B7085" w14:textId="52B1E231"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C403.2.3 HVAC equipment performance requirements. </w:t>
      </w:r>
      <w:r>
        <w:rPr>
          <w:rFonts w:ascii="TimesNewRoman" w:eastAsiaTheme="minorHAnsi" w:hAnsi="TimesNewRoman" w:cs="TimesNewRoman"/>
          <w:sz w:val="20"/>
          <w:szCs w:val="20"/>
          <w14:ligatures w14:val="standardContextual"/>
        </w:rPr>
        <w:t>Equipment shall meet the minimum efficiency requirements of Tables C403.2.3(1), C403.2.3(2), C403.2.3(3), C403.2.3(4), C403.2.3(5), C403.2.3(6), C403.2.3(7),</w:t>
      </w:r>
    </w:p>
    <w:p w14:paraId="38B03056" w14:textId="50F21C7D"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C403.2.3(8), C403.2.3(9), C403.2.3(10), C403.2.3(11), C403.2.3(12), C403.2.3(13), C403.2.3(14), C403.2.3(15),</w:t>
      </w:r>
    </w:p>
    <w:p w14:paraId="28D62BFA" w14:textId="5990A1F8" w:rsidR="005B5300" w:rsidRPr="005B5300" w:rsidRDefault="005B5300" w:rsidP="005B5300">
      <w:pPr>
        <w:widowControl/>
        <w:adjustRightInd w:val="0"/>
        <w:rPr>
          <w:rFonts w:ascii="TimesNewRoman" w:eastAsiaTheme="minorHAnsi" w:hAnsi="TimesNewRoman" w:cs="TimesNewRoman"/>
          <w:strike/>
          <w:sz w:val="20"/>
          <w:szCs w:val="20"/>
          <w14:ligatures w14:val="standardContextual"/>
        </w:rPr>
      </w:pPr>
      <w:r>
        <w:rPr>
          <w:rFonts w:ascii="TimesNewRoman" w:eastAsiaTheme="minorHAnsi" w:hAnsi="TimesNewRoman" w:cs="TimesNewRoman"/>
          <w:sz w:val="20"/>
          <w:szCs w:val="20"/>
          <w14:ligatures w14:val="standardContextual"/>
        </w:rPr>
        <w:t xml:space="preserve">C403.2.3(16) and C403.2.3(17) when tested and rated in accordance with the applicable test procedure. </w:t>
      </w:r>
      <w:r w:rsidRPr="005B5300">
        <w:rPr>
          <w:rFonts w:ascii="TimesNewRoman" w:eastAsiaTheme="minorHAnsi" w:hAnsi="TimesNewRoman" w:cs="TimesNewRoman"/>
          <w:strike/>
          <w:sz w:val="20"/>
          <w:szCs w:val="20"/>
          <w14:ligatures w14:val="standardContextual"/>
        </w:rPr>
        <w:t>Plate-type</w:t>
      </w:r>
    </w:p>
    <w:p w14:paraId="2BDF920F" w14:textId="6857F5CB" w:rsidR="0072164D" w:rsidRPr="003632A7" w:rsidRDefault="005B5300" w:rsidP="005B5300">
      <w:pPr>
        <w:widowControl/>
        <w:adjustRightInd w:val="0"/>
        <w:rPr>
          <w:rFonts w:eastAsiaTheme="minorHAnsi"/>
          <w:b/>
          <w:bCs/>
          <w14:ligatures w14:val="standardContextual"/>
        </w:rPr>
      </w:pPr>
      <w:r w:rsidRPr="005B5300">
        <w:rPr>
          <w:rFonts w:ascii="TimesNewRoman" w:eastAsiaTheme="minorHAnsi" w:hAnsi="TimesNewRoman" w:cs="TimesNewRoman"/>
          <w:strike/>
          <w:sz w:val="20"/>
          <w:szCs w:val="20"/>
          <w14:ligatures w14:val="standardContextual"/>
        </w:rPr>
        <w:t>liquid-to-liquid heat exchangers shall meet the minimum requirements of Table C403.2.3(10)</w:t>
      </w:r>
      <w:r>
        <w:rPr>
          <w:rFonts w:ascii="TimesNewRoman" w:eastAsiaTheme="minorHAnsi" w:hAnsi="TimesNewRoman" w:cs="TimesNewRoman"/>
          <w:sz w:val="20"/>
          <w:szCs w:val="20"/>
          <w14:ligatures w14:val="standardContextual"/>
        </w:rPr>
        <w:t>. ….</w:t>
      </w:r>
    </w:p>
    <w:p w14:paraId="165DB31E" w14:textId="38A02366" w:rsidR="003632A7" w:rsidRDefault="003632A7" w:rsidP="00B45751">
      <w:pPr>
        <w:widowControl/>
        <w:adjustRightInd w:val="0"/>
        <w:rPr>
          <w:rFonts w:ascii="Arial,Bold" w:eastAsiaTheme="minorHAnsi" w:hAnsi="Arial,Bold" w:cs="Arial,Bold"/>
          <w:b/>
          <w:bCs/>
          <w14:ligatures w14:val="standardContextual"/>
        </w:rPr>
      </w:pPr>
    </w:p>
    <w:p w14:paraId="3943EB0D" w14:textId="77777777" w:rsidR="000C5810" w:rsidRPr="00DD108E" w:rsidRDefault="000C5810" w:rsidP="000C5810">
      <w:pPr>
        <w:rPr>
          <w:rFonts w:ascii="TimesNewRoman" w:eastAsiaTheme="minorHAnsi" w:hAnsi="TimesNewRoman" w:cs="TimesNewRoman"/>
          <w:sz w:val="20"/>
          <w:szCs w:val="20"/>
          <w14:ligatures w14:val="standardContextual"/>
        </w:rPr>
      </w:pPr>
      <w:bookmarkStart w:id="4" w:name="_Hlk147934012"/>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7D9D172E" w14:textId="77777777" w:rsidR="000C5810" w:rsidRPr="00DD108E" w:rsidRDefault="000C5810" w:rsidP="000C5810">
      <w:pPr>
        <w:rPr>
          <w:rFonts w:ascii="TimesNewRoman" w:eastAsiaTheme="minorHAnsi" w:hAnsi="TimesNewRoman" w:cs="TimesNewRoman"/>
          <w:sz w:val="20"/>
          <w:szCs w:val="20"/>
          <w14:ligatures w14:val="standardContextual"/>
        </w:rPr>
      </w:pPr>
    </w:p>
    <w:p w14:paraId="0E8F282A"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4"/>
    <w:p w14:paraId="25048ED4" w14:textId="77777777" w:rsidR="000C5810" w:rsidRDefault="000C5810" w:rsidP="000C5810">
      <w:pPr>
        <w:rPr>
          <w:rFonts w:ascii="TimesNewRoman" w:eastAsiaTheme="minorHAnsi" w:hAnsi="TimesNewRoman" w:cs="TimesNewRoman"/>
          <w:b/>
          <w:bCs/>
          <w:sz w:val="18"/>
          <w:szCs w:val="18"/>
          <w14:ligatures w14:val="standardContextual"/>
        </w:rPr>
      </w:pPr>
    </w:p>
    <w:p w14:paraId="68A9CC82" w14:textId="77777777" w:rsidR="00F319E9" w:rsidRDefault="00F319E9" w:rsidP="00F319E9">
      <w:pPr>
        <w:rPr>
          <w:rFonts w:ascii="TimesNewRoman" w:eastAsiaTheme="minorHAnsi" w:hAnsi="TimesNewRoman" w:cs="TimesNewRoman"/>
          <w:b/>
          <w:bCs/>
          <w:color w:val="FF0000"/>
          <w:sz w:val="20"/>
          <w:szCs w:val="20"/>
          <w:u w:val="single"/>
        </w:rPr>
      </w:pPr>
      <w:bookmarkStart w:id="5" w:name="_Hlk147934028"/>
      <w:r>
        <w:rPr>
          <w:rFonts w:ascii="TimesNewRoman" w:eastAsiaTheme="minorHAnsi" w:hAnsi="TimesNewRoman" w:cs="TimesNewRoman"/>
          <w:b/>
          <w:bCs/>
          <w:color w:val="FF0000"/>
          <w:sz w:val="20"/>
          <w:szCs w:val="20"/>
          <w:u w:val="single"/>
        </w:rPr>
        <w:t xml:space="preserve">Comment – </w:t>
      </w:r>
    </w:p>
    <w:p w14:paraId="55177B41" w14:textId="77777777" w:rsidR="00F319E9" w:rsidRDefault="00F319E9" w:rsidP="00F319E9">
      <w:pPr>
        <w:rPr>
          <w:rFonts w:ascii="TimesNewRoman" w:eastAsiaTheme="minorHAnsi" w:hAnsi="TimesNewRoman" w:cs="TimesNewRoman"/>
          <w:b/>
          <w:bCs/>
          <w:color w:val="FF0000"/>
          <w:sz w:val="20"/>
          <w:szCs w:val="20"/>
          <w:u w:val="single"/>
        </w:rPr>
      </w:pPr>
    </w:p>
    <w:p w14:paraId="00E05943" w14:textId="77777777" w:rsidR="00F319E9" w:rsidRDefault="00F319E9" w:rsidP="00F319E9">
      <w:pPr>
        <w:rPr>
          <w:b/>
          <w:bCs/>
        </w:rPr>
      </w:pPr>
      <w:r>
        <w:rPr>
          <w:b/>
          <w:bCs/>
        </w:rPr>
        <w:t>BOAF Building Officials Association of Florida CDC Code Development Committee</w:t>
      </w:r>
    </w:p>
    <w:p w14:paraId="4ED22FEE" w14:textId="77777777" w:rsidR="00F319E9" w:rsidRDefault="00F319E9" w:rsidP="00B6570A">
      <w:pPr>
        <w:widowControl/>
        <w:adjustRightInd w:val="0"/>
        <w:rPr>
          <w:rFonts w:eastAsiaTheme="minorHAnsi"/>
          <w:color w:val="FF0000"/>
          <w14:ligatures w14:val="standardContextual"/>
        </w:rPr>
      </w:pPr>
    </w:p>
    <w:p w14:paraId="023E0466" w14:textId="77777777" w:rsidR="00F319E9" w:rsidRDefault="00F319E9" w:rsidP="00F319E9">
      <w:pPr>
        <w:rPr>
          <w:b/>
          <w:bCs/>
        </w:rPr>
      </w:pPr>
      <w:r>
        <w:rPr>
          <w:b/>
          <w:bCs/>
        </w:rPr>
        <w:t>Proposal:</w:t>
      </w:r>
      <w:r>
        <w:rPr>
          <w:b/>
          <w:bCs/>
        </w:rPr>
        <w:tab/>
      </w:r>
      <w:r>
        <w:rPr>
          <w:b/>
          <w:bCs/>
        </w:rPr>
        <w:tab/>
        <w:t>C403.2.3 Delete Plate type liquid to liquid heat exchangers minimum requirement</w:t>
      </w:r>
    </w:p>
    <w:p w14:paraId="203B818B" w14:textId="77777777" w:rsidR="00F319E9" w:rsidRDefault="00F319E9" w:rsidP="00F319E9">
      <w:pPr>
        <w:rPr>
          <w:b/>
          <w:bCs/>
        </w:rPr>
      </w:pPr>
      <w:r>
        <w:rPr>
          <w:b/>
          <w:bCs/>
        </w:rPr>
        <w:t>Comment:</w:t>
      </w:r>
      <w:r>
        <w:rPr>
          <w:b/>
          <w:bCs/>
        </w:rPr>
        <w:tab/>
      </w:r>
      <w:r>
        <w:rPr>
          <w:b/>
          <w:bCs/>
        </w:rPr>
        <w:tab/>
        <w:t>Agree with proposal</w:t>
      </w:r>
    </w:p>
    <w:p w14:paraId="25E565BA" w14:textId="77777777" w:rsidR="00F319E9" w:rsidRDefault="00F319E9" w:rsidP="00F319E9">
      <w:r>
        <w:rPr>
          <w:b/>
          <w:bCs/>
        </w:rPr>
        <w:t>Approve/Oppose:</w:t>
      </w:r>
      <w:r>
        <w:rPr>
          <w:b/>
          <w:bCs/>
        </w:rPr>
        <w:tab/>
      </w:r>
      <w:r w:rsidRPr="00467F79">
        <w:rPr>
          <w:b/>
          <w:bCs/>
          <w:highlight w:val="yellow"/>
        </w:rPr>
        <w:t>Approve</w:t>
      </w:r>
    </w:p>
    <w:p w14:paraId="5206FFC1" w14:textId="77777777" w:rsidR="00F319E9" w:rsidRDefault="00F319E9" w:rsidP="00B6570A">
      <w:pPr>
        <w:widowControl/>
        <w:adjustRightInd w:val="0"/>
        <w:rPr>
          <w:rFonts w:eastAsiaTheme="minorHAnsi"/>
          <w:color w:val="FF0000"/>
          <w14:ligatures w14:val="standardContextual"/>
        </w:rPr>
      </w:pPr>
    </w:p>
    <w:p w14:paraId="7F3AABDC" w14:textId="77777777" w:rsidR="00F319E9" w:rsidRDefault="00F319E9" w:rsidP="00B6570A">
      <w:pPr>
        <w:widowControl/>
        <w:adjustRightInd w:val="0"/>
        <w:rPr>
          <w:rFonts w:eastAsiaTheme="minorHAnsi"/>
          <w:color w:val="FF0000"/>
          <w14:ligatures w14:val="standardContextual"/>
        </w:rPr>
      </w:pPr>
    </w:p>
    <w:p w14:paraId="54F1B1EF" w14:textId="718E680D" w:rsidR="00B6570A" w:rsidRDefault="00B6570A" w:rsidP="00B6570A">
      <w:pPr>
        <w:widowControl/>
        <w:adjustRightInd w:val="0"/>
        <w:rPr>
          <w:rFonts w:eastAsiaTheme="minorHAnsi"/>
          <w:color w:val="FF0000"/>
          <w14:ligatures w14:val="standardContextual"/>
        </w:rPr>
      </w:pPr>
      <w:r w:rsidRPr="005E63E4">
        <w:rPr>
          <w:rFonts w:eastAsiaTheme="minorHAnsi"/>
          <w:color w:val="FF0000"/>
          <w14:ligatures w14:val="standardContextual"/>
        </w:rPr>
        <w:t>EN-FBC-EC/C –</w:t>
      </w:r>
      <w:r w:rsidR="00273243">
        <w:rPr>
          <w:rFonts w:eastAsiaTheme="minorHAnsi"/>
          <w:color w:val="FF0000"/>
          <w14:ligatures w14:val="standardContextual"/>
        </w:rPr>
        <w:t xml:space="preserve"> Ch. 4 - </w:t>
      </w:r>
      <w:r w:rsidRPr="005E63E4">
        <w:rPr>
          <w:rFonts w:eastAsiaTheme="minorHAnsi"/>
          <w:color w:val="FF0000"/>
          <w14:ligatures w14:val="standardContextual"/>
        </w:rPr>
        <w:t>Errata</w:t>
      </w:r>
      <w:r w:rsidR="00273243">
        <w:rPr>
          <w:rFonts w:eastAsiaTheme="minorHAnsi"/>
          <w:color w:val="FF0000"/>
          <w14:ligatures w14:val="standardContextual"/>
        </w:rPr>
        <w:t xml:space="preserve"> #3</w:t>
      </w:r>
    </w:p>
    <w:p w14:paraId="641AB93A" w14:textId="77777777" w:rsidR="00B6570A" w:rsidRDefault="00B6570A" w:rsidP="00B45751">
      <w:pPr>
        <w:widowControl/>
        <w:adjustRightInd w:val="0"/>
        <w:rPr>
          <w:rFonts w:eastAsiaTheme="minorHAnsi"/>
          <w:color w:val="FF0000"/>
          <w14:ligatures w14:val="standardContextual"/>
        </w:rPr>
      </w:pPr>
    </w:p>
    <w:p w14:paraId="689D429B" w14:textId="46336041" w:rsidR="00B6570A" w:rsidRPr="00273243" w:rsidRDefault="00B6570A" w:rsidP="00B45751">
      <w:pPr>
        <w:widowControl/>
        <w:adjustRightInd w:val="0"/>
        <w:rPr>
          <w:rFonts w:eastAsiaTheme="minorHAnsi"/>
          <w:b/>
          <w:bCs/>
          <w14:ligatures w14:val="standardContextual"/>
        </w:rPr>
      </w:pPr>
      <w:r w:rsidRPr="00273243">
        <w:rPr>
          <w:rFonts w:eastAsiaTheme="minorHAnsi"/>
          <w:b/>
          <w:bCs/>
          <w14:ligatures w14:val="standardContextual"/>
        </w:rPr>
        <w:t xml:space="preserve">Staff </w:t>
      </w:r>
    </w:p>
    <w:p w14:paraId="64B51C9D" w14:textId="77777777" w:rsidR="00B6570A" w:rsidRDefault="00B6570A" w:rsidP="00B45751">
      <w:pPr>
        <w:widowControl/>
        <w:adjustRightInd w:val="0"/>
        <w:rPr>
          <w:rFonts w:eastAsiaTheme="minorHAnsi"/>
          <w14:ligatures w14:val="standardContextual"/>
        </w:rPr>
      </w:pPr>
    </w:p>
    <w:p w14:paraId="0B27EC2B" w14:textId="0914EC12" w:rsidR="00B6570A" w:rsidRDefault="00B6570A" w:rsidP="00B45751">
      <w:pPr>
        <w:widowControl/>
        <w:adjustRightInd w:val="0"/>
        <w:rPr>
          <w:rFonts w:eastAsiaTheme="minorHAnsi"/>
          <w14:ligatures w14:val="standardContextual"/>
        </w:rPr>
      </w:pPr>
      <w:r>
        <w:rPr>
          <w:rFonts w:eastAsiaTheme="minorHAnsi"/>
          <w14:ligatures w14:val="standardContextual"/>
        </w:rPr>
        <w:t xml:space="preserve">Add “SEER2” to section C403.3(Exception 7) for consistency with </w:t>
      </w:r>
      <w:r w:rsidR="00022CFA">
        <w:rPr>
          <w:rFonts w:eastAsiaTheme="minorHAnsi"/>
          <w14:ligatures w14:val="standardContextual"/>
        </w:rPr>
        <w:t>the rating efficiency for HVAC units.</w:t>
      </w:r>
    </w:p>
    <w:p w14:paraId="1F3686CE" w14:textId="77777777" w:rsidR="00B6570A" w:rsidRDefault="00B6570A" w:rsidP="00B45751">
      <w:pPr>
        <w:widowControl/>
        <w:adjustRightInd w:val="0"/>
        <w:rPr>
          <w:rFonts w:eastAsiaTheme="minorHAnsi"/>
          <w14:ligatures w14:val="standardContextual"/>
        </w:rPr>
      </w:pPr>
    </w:p>
    <w:p w14:paraId="30A913F7" w14:textId="61B9F81D"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C403.3 Economizers (Prescriptive). </w:t>
      </w:r>
      <w:r>
        <w:rPr>
          <w:rFonts w:ascii="TimesNewRoman" w:eastAsiaTheme="minorHAnsi" w:hAnsi="TimesNewRoman" w:cs="TimesNewRoman"/>
          <w:sz w:val="20"/>
          <w:szCs w:val="20"/>
          <w14:ligatures w14:val="standardContextual"/>
        </w:rPr>
        <w:t>Each cooling system shall include either an air or water economizer complying with Sections C403.3.1 through C403.3.4.</w:t>
      </w:r>
    </w:p>
    <w:p w14:paraId="0CB4189F" w14:textId="77777777" w:rsidR="00B6570A" w:rsidRDefault="00B6570A" w:rsidP="00B6570A">
      <w:pPr>
        <w:widowControl/>
        <w:adjustRightInd w:val="0"/>
        <w:rPr>
          <w:rFonts w:ascii="TimesNewRoman" w:eastAsiaTheme="minorHAnsi" w:hAnsi="TimesNewRoman" w:cs="TimesNewRoman"/>
          <w:sz w:val="20"/>
          <w:szCs w:val="20"/>
          <w14:ligatures w14:val="standardContextual"/>
        </w:rPr>
      </w:pPr>
    </w:p>
    <w:p w14:paraId="20CB2161" w14:textId="5BC4C483" w:rsidR="00B6570A" w:rsidRDefault="00B6570A" w:rsidP="00B6570A">
      <w:pPr>
        <w:widowControl/>
        <w:adjustRightInd w:val="0"/>
        <w:rPr>
          <w:rFonts w:ascii="TimesNewRoman" w:eastAsiaTheme="minorHAnsi" w:hAnsi="TimesNewRoman" w:cs="TimesNewRoman"/>
          <w:b/>
          <w:bCs/>
          <w:sz w:val="20"/>
          <w:szCs w:val="20"/>
          <w14:ligatures w14:val="standardContextual"/>
        </w:rPr>
      </w:pPr>
      <w:r w:rsidRPr="00B6570A">
        <w:rPr>
          <w:rFonts w:ascii="TimesNewRoman" w:eastAsiaTheme="minorHAnsi" w:hAnsi="TimesNewRoman" w:cs="TimesNewRoman"/>
          <w:b/>
          <w:bCs/>
          <w:sz w:val="20"/>
          <w:szCs w:val="20"/>
          <w14:ligatures w14:val="standardContextual"/>
        </w:rPr>
        <w:t>Exceptions:</w:t>
      </w:r>
    </w:p>
    <w:p w14:paraId="561323FF" w14:textId="77777777" w:rsidR="00B6570A" w:rsidRDefault="00B6570A" w:rsidP="00B6570A">
      <w:pPr>
        <w:widowControl/>
        <w:adjustRightInd w:val="0"/>
        <w:rPr>
          <w:rFonts w:ascii="TimesNewRoman" w:eastAsiaTheme="minorHAnsi" w:hAnsi="TimesNewRoman" w:cs="TimesNewRoman"/>
          <w:b/>
          <w:bCs/>
          <w:sz w:val="20"/>
          <w:szCs w:val="20"/>
          <w14:ligatures w14:val="standardContextual"/>
        </w:rPr>
      </w:pPr>
    </w:p>
    <w:p w14:paraId="62A7737A" w14:textId="36E271BB" w:rsidR="00B6570A" w:rsidRDefault="00B6570A" w:rsidP="00B6570A">
      <w:pPr>
        <w:widowControl/>
        <w:adjustRightInd w:val="0"/>
        <w:rPr>
          <w:rFonts w:ascii="TimesNewRoman" w:eastAsiaTheme="minorHAnsi" w:hAnsi="TimesNewRoman" w:cs="TimesNewRoman"/>
          <w:b/>
          <w:bCs/>
          <w:sz w:val="20"/>
          <w:szCs w:val="20"/>
          <w14:ligatures w14:val="standardContextual"/>
        </w:rPr>
      </w:pPr>
      <w:r>
        <w:rPr>
          <w:rFonts w:ascii="TimesNewRoman" w:eastAsiaTheme="minorHAnsi" w:hAnsi="TimesNewRoman" w:cs="TimesNewRoman"/>
          <w:b/>
          <w:bCs/>
          <w:sz w:val="20"/>
          <w:szCs w:val="20"/>
          <w14:ligatures w14:val="standardContextual"/>
        </w:rPr>
        <w:t>…</w:t>
      </w:r>
    </w:p>
    <w:p w14:paraId="1DC53C19" w14:textId="77777777" w:rsidR="00B6570A" w:rsidRPr="00B6570A" w:rsidRDefault="00B6570A" w:rsidP="00B6570A">
      <w:pPr>
        <w:widowControl/>
        <w:adjustRightInd w:val="0"/>
        <w:rPr>
          <w:rFonts w:ascii="TimesNewRoman" w:eastAsiaTheme="minorHAnsi" w:hAnsi="TimesNewRoman" w:cs="TimesNewRoman"/>
          <w:b/>
          <w:bCs/>
          <w:sz w:val="20"/>
          <w:szCs w:val="20"/>
          <w14:ligatures w14:val="standardContextual"/>
        </w:rPr>
      </w:pPr>
    </w:p>
    <w:p w14:paraId="43A4C8D1" w14:textId="63407790"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7. The required air or water economizer may be eliminated</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if the minimum code required cooling efficiency</w:t>
      </w:r>
    </w:p>
    <w:p w14:paraId="38D4AC3B" w14:textId="3D806E89" w:rsidR="00B6570A" w:rsidRPr="00B6570A" w:rsidRDefault="00B6570A" w:rsidP="00B6570A">
      <w:pPr>
        <w:widowControl/>
        <w:adjustRightInd w:val="0"/>
        <w:rPr>
          <w:rFonts w:eastAsiaTheme="minorHAnsi"/>
          <w14:ligatures w14:val="standardContextual"/>
        </w:rPr>
      </w:pPr>
      <w:r>
        <w:rPr>
          <w:rFonts w:ascii="TimesNewRoman" w:eastAsiaTheme="minorHAnsi" w:hAnsi="TimesNewRoman" w:cs="TimesNewRoman"/>
          <w:sz w:val="20"/>
          <w:szCs w:val="20"/>
          <w14:ligatures w14:val="standardContextual"/>
        </w:rPr>
        <w:t xml:space="preserve">of the HVAC unit rated with an IPLV, IEER, </w:t>
      </w:r>
      <w:r w:rsidRPr="00B6570A">
        <w:rPr>
          <w:rFonts w:ascii="TimesNewRoman" w:eastAsiaTheme="minorHAnsi" w:hAnsi="TimesNewRoman" w:cs="TimesNewRoman"/>
          <w:sz w:val="20"/>
          <w:szCs w:val="20"/>
          <w:u w:val="single"/>
          <w14:ligatures w14:val="standardContextual"/>
        </w:rPr>
        <w:t>SEER2</w:t>
      </w:r>
      <w:r>
        <w:rPr>
          <w:rFonts w:ascii="TimesNewRoman" w:eastAsiaTheme="minorHAnsi" w:hAnsi="TimesNewRoman" w:cs="TimesNewRoman"/>
          <w:sz w:val="20"/>
          <w:szCs w:val="20"/>
          <w14:ligatures w14:val="standardContextual"/>
        </w:rPr>
        <w:t xml:space="preserve"> or SEER</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is increased by at least 17 percent. If the HVAC unit is</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only rated with a full-load metric like EER cooling,</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then it must be increased by at least 17 percent.</w:t>
      </w:r>
    </w:p>
    <w:p w14:paraId="00A46D16" w14:textId="77777777" w:rsidR="00B6570A" w:rsidRDefault="00B6570A" w:rsidP="00B45751">
      <w:pPr>
        <w:widowControl/>
        <w:adjustRightInd w:val="0"/>
        <w:rPr>
          <w:rFonts w:eastAsiaTheme="minorHAnsi"/>
          <w:color w:val="FF0000"/>
          <w14:ligatures w14:val="standardContextual"/>
        </w:rPr>
      </w:pPr>
    </w:p>
    <w:p w14:paraId="448510C5" w14:textId="77777777" w:rsidR="00022CFA" w:rsidRPr="00DD108E" w:rsidRDefault="00022CFA" w:rsidP="00022CF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FE1304E" w14:textId="77777777" w:rsidR="00022CFA" w:rsidRPr="00DD108E" w:rsidRDefault="00022CFA" w:rsidP="00022CFA">
      <w:pPr>
        <w:rPr>
          <w:rFonts w:ascii="TimesNewRoman" w:eastAsiaTheme="minorHAnsi" w:hAnsi="TimesNewRoman" w:cs="TimesNewRoman"/>
          <w:sz w:val="20"/>
          <w:szCs w:val="20"/>
          <w14:ligatures w14:val="standardContextual"/>
        </w:rPr>
      </w:pPr>
    </w:p>
    <w:p w14:paraId="6E555F5F" w14:textId="53D68484" w:rsidR="00022CFA" w:rsidRDefault="00022CFA" w:rsidP="00F319E9">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7D6E572C" w14:textId="77777777" w:rsidR="00F319E9" w:rsidRDefault="00F319E9" w:rsidP="00F319E9">
      <w:pPr>
        <w:rPr>
          <w:rFonts w:ascii="TimesNewRoman" w:eastAsiaTheme="minorHAnsi" w:hAnsi="TimesNewRoman" w:cs="TimesNewRoman"/>
          <w:b/>
          <w:bCs/>
          <w:sz w:val="20"/>
          <w:szCs w:val="20"/>
          <w14:ligatures w14:val="standardContextual"/>
        </w:rPr>
      </w:pPr>
    </w:p>
    <w:p w14:paraId="717DC8AD" w14:textId="77777777" w:rsidR="00F319E9" w:rsidRDefault="00F319E9" w:rsidP="00F319E9">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01887B94" w14:textId="77777777" w:rsidR="00F319E9" w:rsidRDefault="00F319E9" w:rsidP="00F319E9">
      <w:pPr>
        <w:rPr>
          <w:rFonts w:ascii="TimesNewRoman" w:eastAsiaTheme="minorHAnsi" w:hAnsi="TimesNewRoman" w:cs="TimesNewRoman"/>
          <w:b/>
          <w:bCs/>
          <w:color w:val="FF0000"/>
          <w:sz w:val="20"/>
          <w:szCs w:val="20"/>
          <w:u w:val="single"/>
        </w:rPr>
      </w:pPr>
    </w:p>
    <w:p w14:paraId="6BF99170" w14:textId="77777777" w:rsidR="00F319E9" w:rsidRDefault="00F319E9" w:rsidP="00F319E9">
      <w:pPr>
        <w:rPr>
          <w:b/>
          <w:bCs/>
        </w:rPr>
      </w:pPr>
      <w:r>
        <w:rPr>
          <w:b/>
          <w:bCs/>
        </w:rPr>
        <w:t>BOAF Building Officials Association of Florida CDC Code Development Committee</w:t>
      </w:r>
    </w:p>
    <w:p w14:paraId="604D6A20" w14:textId="77777777" w:rsidR="00F319E9" w:rsidRDefault="00F319E9" w:rsidP="00F319E9">
      <w:pPr>
        <w:widowControl/>
        <w:adjustRightInd w:val="0"/>
        <w:rPr>
          <w:rFonts w:eastAsiaTheme="minorHAnsi"/>
          <w:color w:val="FF0000"/>
          <w14:ligatures w14:val="standardContextual"/>
        </w:rPr>
      </w:pPr>
    </w:p>
    <w:p w14:paraId="31D58158" w14:textId="77777777" w:rsidR="00F319E9" w:rsidRDefault="00F319E9" w:rsidP="00F319E9">
      <w:pPr>
        <w:rPr>
          <w:b/>
          <w:bCs/>
        </w:rPr>
      </w:pPr>
      <w:r>
        <w:rPr>
          <w:b/>
          <w:bCs/>
        </w:rPr>
        <w:t>Proposal:</w:t>
      </w:r>
      <w:r>
        <w:rPr>
          <w:b/>
          <w:bCs/>
        </w:rPr>
        <w:tab/>
      </w:r>
      <w:r>
        <w:rPr>
          <w:b/>
          <w:bCs/>
        </w:rPr>
        <w:tab/>
        <w:t>Add SEER2 to C403.3</w:t>
      </w:r>
    </w:p>
    <w:p w14:paraId="66CFED1A" w14:textId="77777777" w:rsidR="00F319E9" w:rsidRDefault="00F319E9" w:rsidP="00F319E9">
      <w:pPr>
        <w:rPr>
          <w:b/>
          <w:bCs/>
        </w:rPr>
      </w:pPr>
      <w:r>
        <w:rPr>
          <w:b/>
          <w:bCs/>
        </w:rPr>
        <w:t>Comment:</w:t>
      </w:r>
      <w:r>
        <w:rPr>
          <w:b/>
          <w:bCs/>
        </w:rPr>
        <w:tab/>
      </w:r>
      <w:r>
        <w:rPr>
          <w:b/>
          <w:bCs/>
        </w:rPr>
        <w:tab/>
        <w:t>Agree with proposal needed for DOE changes</w:t>
      </w:r>
    </w:p>
    <w:p w14:paraId="51C7DA02" w14:textId="77777777" w:rsidR="00F319E9" w:rsidRDefault="00F319E9" w:rsidP="00F319E9">
      <w:r>
        <w:rPr>
          <w:b/>
          <w:bCs/>
        </w:rPr>
        <w:t>Approve/Oppose:</w:t>
      </w:r>
      <w:r>
        <w:rPr>
          <w:b/>
          <w:bCs/>
        </w:rPr>
        <w:tab/>
      </w:r>
      <w:r w:rsidRPr="00467F79">
        <w:rPr>
          <w:b/>
          <w:bCs/>
          <w:highlight w:val="yellow"/>
        </w:rPr>
        <w:t>Approve</w:t>
      </w:r>
    </w:p>
    <w:p w14:paraId="34774BFF" w14:textId="77777777" w:rsidR="00F319E9" w:rsidRDefault="00F319E9" w:rsidP="00F319E9">
      <w:pPr>
        <w:rPr>
          <w:rFonts w:ascii="TimesNewRoman" w:eastAsiaTheme="minorHAnsi" w:hAnsi="TimesNewRoman" w:cs="TimesNewRoman"/>
          <w:b/>
          <w:bCs/>
          <w:sz w:val="20"/>
          <w:szCs w:val="20"/>
          <w14:ligatures w14:val="standardContextual"/>
        </w:rPr>
      </w:pPr>
    </w:p>
    <w:p w14:paraId="4834C297" w14:textId="77777777" w:rsidR="00F319E9" w:rsidRDefault="00F319E9" w:rsidP="00F319E9">
      <w:pPr>
        <w:rPr>
          <w:rFonts w:ascii="TimesNewRoman" w:eastAsiaTheme="minorHAnsi" w:hAnsi="TimesNewRoman" w:cs="TimesNewRoman"/>
          <w:b/>
          <w:bCs/>
          <w:sz w:val="20"/>
          <w:szCs w:val="20"/>
          <w14:ligatures w14:val="standardContextual"/>
        </w:rPr>
      </w:pPr>
    </w:p>
    <w:p w14:paraId="1D62C720" w14:textId="77777777" w:rsidR="00F319E9" w:rsidRPr="00F319E9" w:rsidRDefault="00F319E9" w:rsidP="00F319E9">
      <w:pPr>
        <w:rPr>
          <w:rFonts w:ascii="TimesNewRoman" w:eastAsiaTheme="minorHAnsi" w:hAnsi="TimesNewRoman" w:cs="TimesNewRoman"/>
          <w:b/>
          <w:bCs/>
          <w:sz w:val="20"/>
          <w:szCs w:val="20"/>
          <w14:ligatures w14:val="standardContextual"/>
        </w:rPr>
      </w:pPr>
    </w:p>
    <w:p w14:paraId="524BA8A4" w14:textId="0489FE55" w:rsidR="00C93092" w:rsidRDefault="000C5810" w:rsidP="00B45751">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Ch. 4</w:t>
      </w:r>
      <w:r w:rsidRPr="005E63E4">
        <w:rPr>
          <w:rFonts w:eastAsiaTheme="minorHAnsi"/>
          <w:color w:val="FF0000"/>
          <w14:ligatures w14:val="standardContextual"/>
        </w:rPr>
        <w:t xml:space="preserve"> – Errata</w:t>
      </w:r>
      <w:r w:rsidR="00273243">
        <w:rPr>
          <w:rFonts w:eastAsiaTheme="minorHAnsi"/>
          <w:color w:val="FF0000"/>
          <w14:ligatures w14:val="standardContextual"/>
        </w:rPr>
        <w:t xml:space="preserve"> #4</w:t>
      </w:r>
    </w:p>
    <w:bookmarkEnd w:id="5"/>
    <w:p w14:paraId="6D803285" w14:textId="77777777" w:rsidR="000C5810" w:rsidRDefault="000C5810" w:rsidP="00B45751">
      <w:pPr>
        <w:widowControl/>
        <w:adjustRightInd w:val="0"/>
        <w:rPr>
          <w:rFonts w:eastAsiaTheme="minorHAnsi"/>
          <w:color w:val="FF0000"/>
          <w14:ligatures w14:val="standardContextual"/>
        </w:rPr>
      </w:pPr>
    </w:p>
    <w:p w14:paraId="1D413671" w14:textId="77777777" w:rsidR="000C5810" w:rsidRDefault="000C5810" w:rsidP="000C5810">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441EB467" w14:textId="77777777" w:rsidR="000C5810" w:rsidRDefault="000C5810" w:rsidP="000C5810">
      <w:pPr>
        <w:widowControl/>
        <w:adjustRightInd w:val="0"/>
        <w:rPr>
          <w:rFonts w:eastAsiaTheme="minorHAnsi"/>
          <w:b/>
          <w:bCs/>
          <w14:ligatures w14:val="standardContextual"/>
        </w:rPr>
      </w:pPr>
    </w:p>
    <w:p w14:paraId="1901DC5C" w14:textId="0A3FF866" w:rsidR="000C5810" w:rsidRDefault="000C5810" w:rsidP="000C5810">
      <w:pPr>
        <w:widowControl/>
        <w:adjustRightInd w:val="0"/>
        <w:rPr>
          <w:bCs/>
          <w:sz w:val="20"/>
          <w:szCs w:val="20"/>
        </w:rPr>
      </w:pPr>
      <w:r w:rsidRPr="003E6B15">
        <w:rPr>
          <w:bCs/>
          <w:sz w:val="20"/>
          <w:szCs w:val="20"/>
        </w:rPr>
        <w:t>Table C403.2.14.2(3)</w:t>
      </w:r>
    </w:p>
    <w:p w14:paraId="6C21DEC3" w14:textId="77777777" w:rsidR="000C5810" w:rsidRDefault="000C5810" w:rsidP="000C5810">
      <w:pPr>
        <w:widowControl/>
        <w:adjustRightInd w:val="0"/>
        <w:rPr>
          <w:bCs/>
          <w:sz w:val="20"/>
          <w:szCs w:val="20"/>
        </w:rPr>
      </w:pPr>
    </w:p>
    <w:p w14:paraId="7B1FB010" w14:textId="77777777" w:rsidR="000C5810" w:rsidRPr="003E6B15" w:rsidRDefault="000C5810" w:rsidP="000C5810">
      <w:pPr>
        <w:adjustRightInd w:val="0"/>
        <w:rPr>
          <w:bCs/>
          <w:sz w:val="20"/>
          <w:szCs w:val="20"/>
        </w:rPr>
      </w:pPr>
      <w:r w:rsidRPr="003E6B15">
        <w:rPr>
          <w:bCs/>
          <w:sz w:val="20"/>
          <w:szCs w:val="20"/>
        </w:rPr>
        <w:t xml:space="preserve">Table C403.2.14.2(3) Walk-in Cooler and Freezer Refrigeration Systems Efficiency Requirements </w:t>
      </w:r>
      <w:r w:rsidRPr="003E6B15">
        <w:rPr>
          <w:bCs/>
          <w:color w:val="FF0000"/>
          <w:sz w:val="20"/>
          <w:szCs w:val="20"/>
        </w:rPr>
        <w:t>(CE126-16AM)</w:t>
      </w:r>
    </w:p>
    <w:p w14:paraId="09B2435C" w14:textId="77777777" w:rsidR="000C5810" w:rsidRPr="003E6B15" w:rsidRDefault="000C5810" w:rsidP="000C5810">
      <w:pPr>
        <w:adjustRightInd w:val="0"/>
        <w:rPr>
          <w:sz w:val="20"/>
          <w:szCs w:val="20"/>
        </w:rPr>
      </w:pPr>
    </w:p>
    <w:p w14:paraId="4627C874" w14:textId="16CEE97B" w:rsidR="000C5810" w:rsidRDefault="000C5810" w:rsidP="000C5810">
      <w:pPr>
        <w:widowControl/>
        <w:adjustRightInd w:val="0"/>
        <w:rPr>
          <w:sz w:val="20"/>
          <w:szCs w:val="20"/>
        </w:rPr>
      </w:pPr>
      <w:r>
        <w:rPr>
          <w:sz w:val="20"/>
          <w:szCs w:val="20"/>
        </w:rPr>
        <w:t xml:space="preserve">The table </w:t>
      </w:r>
      <w:r w:rsidRPr="003E6B15">
        <w:rPr>
          <w:sz w:val="20"/>
          <w:szCs w:val="20"/>
        </w:rPr>
        <w:t>title has</w:t>
      </w:r>
      <w:r>
        <w:rPr>
          <w:sz w:val="20"/>
          <w:szCs w:val="20"/>
        </w:rPr>
        <w:t xml:space="preserve"> the </w:t>
      </w:r>
      <w:r w:rsidRPr="003E6B15">
        <w:rPr>
          <w:sz w:val="20"/>
          <w:szCs w:val="20"/>
        </w:rPr>
        <w:t>text</w:t>
      </w:r>
      <w:r>
        <w:rPr>
          <w:sz w:val="20"/>
          <w:szCs w:val="20"/>
        </w:rPr>
        <w:t xml:space="preserve"> “</w:t>
      </w:r>
      <w:r w:rsidRPr="003E6B15">
        <w:rPr>
          <w:bCs/>
          <w:color w:val="FF0000"/>
          <w:sz w:val="20"/>
          <w:szCs w:val="20"/>
        </w:rPr>
        <w:t>(CE126-16AM)</w:t>
      </w:r>
      <w:r w:rsidRPr="00167E8F">
        <w:rPr>
          <w:bCs/>
          <w:sz w:val="20"/>
          <w:szCs w:val="20"/>
        </w:rPr>
        <w:t>”</w:t>
      </w:r>
      <w:r>
        <w:rPr>
          <w:bCs/>
          <w:sz w:val="20"/>
          <w:szCs w:val="20"/>
        </w:rPr>
        <w:t xml:space="preserve"> that should be removed</w:t>
      </w:r>
      <w:r w:rsidRPr="00167E8F">
        <w:rPr>
          <w:sz w:val="20"/>
          <w:szCs w:val="20"/>
        </w:rPr>
        <w:t>.</w:t>
      </w:r>
    </w:p>
    <w:p w14:paraId="022F497E" w14:textId="77777777" w:rsidR="000C5810" w:rsidRDefault="000C5810" w:rsidP="000C5810">
      <w:pPr>
        <w:widowControl/>
        <w:adjustRightInd w:val="0"/>
        <w:rPr>
          <w:sz w:val="20"/>
          <w:szCs w:val="20"/>
        </w:rPr>
      </w:pPr>
    </w:p>
    <w:p w14:paraId="3DD24DFE" w14:textId="567B816F" w:rsidR="000C5810" w:rsidRDefault="000C5810" w:rsidP="000C5810">
      <w:pPr>
        <w:widowControl/>
        <w:adjustRightInd w:val="0"/>
        <w:rPr>
          <w:b/>
          <w:bCs/>
          <w:sz w:val="20"/>
          <w:szCs w:val="20"/>
        </w:rPr>
      </w:pPr>
      <w:r w:rsidRPr="00E72BFE">
        <w:rPr>
          <w:b/>
          <w:bCs/>
          <w:sz w:val="20"/>
          <w:szCs w:val="20"/>
        </w:rPr>
        <w:t>Proposed fix</w:t>
      </w:r>
      <w:r w:rsidR="00E72BFE">
        <w:rPr>
          <w:b/>
          <w:bCs/>
          <w:sz w:val="20"/>
          <w:szCs w:val="20"/>
        </w:rPr>
        <w:t>:</w:t>
      </w:r>
    </w:p>
    <w:p w14:paraId="2A6086AE" w14:textId="77777777" w:rsidR="00E72BFE" w:rsidRDefault="00E72BFE" w:rsidP="000C5810">
      <w:pPr>
        <w:widowControl/>
        <w:adjustRightInd w:val="0"/>
        <w:rPr>
          <w:b/>
          <w:bCs/>
          <w:sz w:val="20"/>
          <w:szCs w:val="20"/>
        </w:rPr>
      </w:pPr>
    </w:p>
    <w:p w14:paraId="38584BB2" w14:textId="77777777" w:rsidR="00E72BFE" w:rsidRDefault="00E72BFE" w:rsidP="00E72BFE">
      <w:pPr>
        <w:widowControl/>
        <w:adjustRightInd w:val="0"/>
        <w:rPr>
          <w:rFonts w:ascii="Arial,Bold" w:eastAsiaTheme="minorHAnsi" w:hAnsi="Arial,Bold" w:cs="Arial,Bold"/>
          <w:b/>
          <w:bCs/>
          <w:sz w:val="16"/>
          <w:szCs w:val="16"/>
          <w14:ligatures w14:val="standardContextual"/>
        </w:rPr>
      </w:pPr>
      <w:r>
        <w:rPr>
          <w:rFonts w:ascii="Arial,Bold" w:eastAsiaTheme="minorHAnsi" w:hAnsi="Arial,Bold" w:cs="Arial,Bold"/>
          <w:b/>
          <w:bCs/>
          <w:sz w:val="16"/>
          <w:szCs w:val="16"/>
          <w14:ligatures w14:val="standardContextual"/>
        </w:rPr>
        <w:t>TABLE C403.2.14.2(3)</w:t>
      </w:r>
    </w:p>
    <w:p w14:paraId="400A0B10" w14:textId="2E5CBA57" w:rsidR="00E72BFE" w:rsidRPr="00E72BFE" w:rsidRDefault="00E72BFE" w:rsidP="00E72BFE">
      <w:pPr>
        <w:widowControl/>
        <w:adjustRightInd w:val="0"/>
        <w:rPr>
          <w:rFonts w:eastAsiaTheme="minorHAnsi"/>
          <w:b/>
          <w:bCs/>
          <w14:ligatures w14:val="standardContextual"/>
        </w:rPr>
      </w:pPr>
      <w:r>
        <w:rPr>
          <w:rFonts w:ascii="Arial,Bold" w:eastAsiaTheme="minorHAnsi" w:hAnsi="Arial,Bold" w:cs="Arial,Bold"/>
          <w:b/>
          <w:bCs/>
          <w:sz w:val="16"/>
          <w:szCs w:val="16"/>
          <w14:ligatures w14:val="standardContextual"/>
        </w:rPr>
        <w:t xml:space="preserve">WALK-IN COOLER AND FREEZER REFRIGERATION SYSTEMS EFFICIENCY REQUIREMENTS </w:t>
      </w:r>
      <w:r w:rsidRPr="00E72BFE">
        <w:rPr>
          <w:rFonts w:ascii="Arial,Bold" w:eastAsiaTheme="minorHAnsi" w:hAnsi="Arial,Bold" w:cs="Arial,Bold"/>
          <w:b/>
          <w:bCs/>
          <w:strike/>
          <w:sz w:val="16"/>
          <w:szCs w:val="16"/>
          <w14:ligatures w14:val="standardContextual"/>
        </w:rPr>
        <w:t>(CE126-16AM)</w:t>
      </w:r>
    </w:p>
    <w:p w14:paraId="51CC8075" w14:textId="77777777" w:rsidR="00E72BFE" w:rsidRDefault="00E72BFE" w:rsidP="00E72BFE">
      <w:pPr>
        <w:rPr>
          <w:rFonts w:ascii="TimesNewRoman" w:eastAsiaTheme="minorHAnsi" w:hAnsi="TimesNewRoman" w:cs="TimesNewRoman"/>
          <w:b/>
          <w:bCs/>
          <w:sz w:val="18"/>
          <w:szCs w:val="18"/>
          <w14:ligatures w14:val="standardContextual"/>
        </w:rPr>
      </w:pPr>
    </w:p>
    <w:p w14:paraId="05319A65" w14:textId="233560BA" w:rsidR="00E72BFE" w:rsidRPr="00DD108E" w:rsidRDefault="00E72BFE" w:rsidP="00E72BFE">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5AFCBDD3" w14:textId="77777777" w:rsidR="00E72BFE" w:rsidRPr="00DD108E" w:rsidRDefault="00E72BFE" w:rsidP="00E72BFE">
      <w:pPr>
        <w:rPr>
          <w:rFonts w:ascii="TimesNewRoman" w:eastAsiaTheme="minorHAnsi" w:hAnsi="TimesNewRoman" w:cs="TimesNewRoman"/>
          <w:sz w:val="20"/>
          <w:szCs w:val="20"/>
          <w14:ligatures w14:val="standardContextual"/>
        </w:rPr>
      </w:pPr>
    </w:p>
    <w:p w14:paraId="2D0B3D24" w14:textId="77777777" w:rsidR="00E72BFE" w:rsidRPr="00DD108E" w:rsidRDefault="00E72BFE" w:rsidP="00E72BFE">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452201E4" w14:textId="77777777" w:rsidR="000C5810" w:rsidRDefault="000C5810" w:rsidP="00B45751">
      <w:pPr>
        <w:widowControl/>
        <w:adjustRightInd w:val="0"/>
        <w:rPr>
          <w:rFonts w:ascii="Arial,Bold" w:eastAsiaTheme="minorHAnsi" w:hAnsi="Arial,Bold" w:cs="Arial,Bold"/>
          <w:b/>
          <w:bCs/>
          <w14:ligatures w14:val="standardContextual"/>
        </w:rPr>
      </w:pPr>
      <w:bookmarkStart w:id="6" w:name="_Hlk153732998"/>
    </w:p>
    <w:p w14:paraId="48771BA1" w14:textId="77777777" w:rsidR="00F319E9" w:rsidRDefault="00F319E9" w:rsidP="00F319E9">
      <w:pPr>
        <w:rPr>
          <w:rFonts w:ascii="TimesNewRoman" w:eastAsiaTheme="minorHAnsi" w:hAnsi="TimesNewRoman" w:cs="TimesNewRoman"/>
          <w:b/>
          <w:bCs/>
          <w:color w:val="FF0000"/>
          <w:sz w:val="20"/>
          <w:szCs w:val="20"/>
          <w:u w:val="single"/>
        </w:rPr>
      </w:pPr>
      <w:bookmarkStart w:id="7" w:name="_Hlk147934348"/>
      <w:r>
        <w:rPr>
          <w:rFonts w:ascii="TimesNewRoman" w:eastAsiaTheme="minorHAnsi" w:hAnsi="TimesNewRoman" w:cs="TimesNewRoman"/>
          <w:b/>
          <w:bCs/>
          <w:color w:val="FF0000"/>
          <w:sz w:val="20"/>
          <w:szCs w:val="20"/>
          <w:u w:val="single"/>
        </w:rPr>
        <w:t xml:space="preserve">Comment – </w:t>
      </w:r>
    </w:p>
    <w:p w14:paraId="1C6BCE93" w14:textId="77777777" w:rsidR="00F319E9" w:rsidRDefault="00F319E9" w:rsidP="00F319E9">
      <w:pPr>
        <w:rPr>
          <w:rFonts w:ascii="TimesNewRoman" w:eastAsiaTheme="minorHAnsi" w:hAnsi="TimesNewRoman" w:cs="TimesNewRoman"/>
          <w:b/>
          <w:bCs/>
          <w:color w:val="FF0000"/>
          <w:sz w:val="20"/>
          <w:szCs w:val="20"/>
          <w:u w:val="single"/>
        </w:rPr>
      </w:pPr>
    </w:p>
    <w:p w14:paraId="6EE0A422" w14:textId="77777777" w:rsidR="00F319E9" w:rsidRDefault="00F319E9" w:rsidP="00F319E9">
      <w:pPr>
        <w:rPr>
          <w:b/>
          <w:bCs/>
        </w:rPr>
      </w:pPr>
      <w:r>
        <w:rPr>
          <w:b/>
          <w:bCs/>
        </w:rPr>
        <w:t>BOAF Building Officials Association of Florida CDC Code Development Committee</w:t>
      </w:r>
    </w:p>
    <w:p w14:paraId="55E4835C" w14:textId="77777777" w:rsidR="00925CED" w:rsidRDefault="00925CED" w:rsidP="00925CED">
      <w:pPr>
        <w:rPr>
          <w:b/>
          <w:bCs/>
        </w:rPr>
      </w:pPr>
    </w:p>
    <w:bookmarkEnd w:id="6"/>
    <w:p w14:paraId="380BB546" w14:textId="7E10644B" w:rsidR="00925CED" w:rsidRDefault="00925CED" w:rsidP="00925CED">
      <w:pPr>
        <w:rPr>
          <w:b/>
          <w:bCs/>
        </w:rPr>
      </w:pPr>
      <w:r>
        <w:rPr>
          <w:b/>
          <w:bCs/>
        </w:rPr>
        <w:t>Proposal:</w:t>
      </w:r>
      <w:r>
        <w:rPr>
          <w:b/>
          <w:bCs/>
        </w:rPr>
        <w:tab/>
      </w:r>
      <w:r>
        <w:rPr>
          <w:b/>
          <w:bCs/>
        </w:rPr>
        <w:tab/>
        <w:t>Remove CE126-16AM from Table title</w:t>
      </w:r>
    </w:p>
    <w:p w14:paraId="343622FC" w14:textId="77777777" w:rsidR="00925CED" w:rsidRDefault="00925CED" w:rsidP="00925CED">
      <w:pPr>
        <w:rPr>
          <w:b/>
          <w:bCs/>
        </w:rPr>
      </w:pPr>
      <w:r>
        <w:rPr>
          <w:b/>
          <w:bCs/>
        </w:rPr>
        <w:t>Comment:</w:t>
      </w:r>
      <w:r>
        <w:rPr>
          <w:b/>
          <w:bCs/>
        </w:rPr>
        <w:tab/>
      </w:r>
      <w:r>
        <w:rPr>
          <w:b/>
          <w:bCs/>
        </w:rPr>
        <w:tab/>
        <w:t>agree with proposal</w:t>
      </w:r>
    </w:p>
    <w:p w14:paraId="1BE8EE3F" w14:textId="77777777" w:rsidR="00925CED" w:rsidRDefault="00925CED" w:rsidP="00925CED">
      <w:r>
        <w:rPr>
          <w:b/>
          <w:bCs/>
        </w:rPr>
        <w:t>Approve/Oppose:</w:t>
      </w:r>
      <w:r>
        <w:rPr>
          <w:b/>
          <w:bCs/>
        </w:rPr>
        <w:tab/>
      </w:r>
      <w:r w:rsidRPr="00467F79">
        <w:rPr>
          <w:b/>
          <w:bCs/>
          <w:highlight w:val="yellow"/>
        </w:rPr>
        <w:t>Approve</w:t>
      </w:r>
    </w:p>
    <w:p w14:paraId="3CEB6695" w14:textId="77777777" w:rsidR="00F319E9" w:rsidRDefault="00F319E9" w:rsidP="00E72BFE">
      <w:pPr>
        <w:widowControl/>
        <w:adjustRightInd w:val="0"/>
        <w:rPr>
          <w:rFonts w:eastAsiaTheme="minorHAnsi"/>
          <w:color w:val="FF0000"/>
          <w14:ligatures w14:val="standardContextual"/>
        </w:rPr>
      </w:pPr>
    </w:p>
    <w:p w14:paraId="6683C4E3" w14:textId="77777777" w:rsidR="00F319E9" w:rsidRDefault="00F319E9" w:rsidP="00E72BFE">
      <w:pPr>
        <w:widowControl/>
        <w:adjustRightInd w:val="0"/>
        <w:rPr>
          <w:rFonts w:eastAsiaTheme="minorHAnsi"/>
          <w:color w:val="FF0000"/>
          <w14:ligatures w14:val="standardContextual"/>
        </w:rPr>
      </w:pPr>
    </w:p>
    <w:p w14:paraId="752FDE7B" w14:textId="77777777" w:rsidR="00F319E9" w:rsidRDefault="00F319E9" w:rsidP="00E72BFE">
      <w:pPr>
        <w:widowControl/>
        <w:adjustRightInd w:val="0"/>
        <w:rPr>
          <w:rFonts w:eastAsiaTheme="minorHAnsi"/>
          <w:color w:val="FF0000"/>
          <w14:ligatures w14:val="standardContextual"/>
        </w:rPr>
      </w:pPr>
    </w:p>
    <w:p w14:paraId="5CD1ECC8" w14:textId="68252CAD" w:rsidR="00E72BFE" w:rsidRDefault="00E72BFE" w:rsidP="00E72BFE">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w:t>
      </w:r>
      <w:r w:rsidR="00726B50">
        <w:rPr>
          <w:rFonts w:eastAsiaTheme="minorHAnsi"/>
          <w:color w:val="FF0000"/>
          <w14:ligatures w14:val="standardContextual"/>
        </w:rPr>
        <w:t xml:space="preserve">Glitch </w:t>
      </w:r>
      <w:r w:rsidR="00273243">
        <w:rPr>
          <w:rFonts w:eastAsiaTheme="minorHAnsi"/>
          <w:color w:val="FF0000"/>
          <w14:ligatures w14:val="standardContextual"/>
        </w:rPr>
        <w:t>#1</w:t>
      </w:r>
    </w:p>
    <w:p w14:paraId="46BA1ADC" w14:textId="77777777" w:rsidR="00E72BFE" w:rsidRDefault="00E72BFE" w:rsidP="00E72BFE">
      <w:pPr>
        <w:widowControl/>
        <w:adjustRightInd w:val="0"/>
        <w:rPr>
          <w:rFonts w:eastAsiaTheme="minorHAnsi"/>
          <w:color w:val="FF0000"/>
          <w14:ligatures w14:val="standardContextual"/>
        </w:rPr>
      </w:pPr>
    </w:p>
    <w:p w14:paraId="54E43B2A" w14:textId="77777777" w:rsidR="00E72BFE" w:rsidRDefault="00E72BFE" w:rsidP="00E72BFE">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73921CC5" w14:textId="77777777" w:rsidR="00E72BFE" w:rsidRDefault="00E72BFE" w:rsidP="00E72BFE">
      <w:pPr>
        <w:widowControl/>
        <w:adjustRightInd w:val="0"/>
        <w:rPr>
          <w:rFonts w:eastAsiaTheme="minorHAnsi"/>
          <w:b/>
          <w:bCs/>
          <w14:ligatures w14:val="standardContextual"/>
        </w:rPr>
      </w:pPr>
    </w:p>
    <w:bookmarkEnd w:id="7"/>
    <w:p w14:paraId="47B93B97" w14:textId="599B0098" w:rsidR="00E72BFE" w:rsidRDefault="00E72BFE" w:rsidP="00E72BFE">
      <w:pPr>
        <w:widowControl/>
        <w:adjustRightInd w:val="0"/>
        <w:rPr>
          <w:rFonts w:ascii="Segoe UI" w:hAnsi="Segoe UI" w:cs="Segoe UI"/>
          <w:color w:val="000000"/>
          <w:sz w:val="21"/>
          <w:szCs w:val="21"/>
        </w:rPr>
      </w:pPr>
      <w:r>
        <w:rPr>
          <w:rFonts w:ascii="Segoe UI" w:hAnsi="Segoe UI" w:cs="Segoe UI"/>
          <w:color w:val="000000"/>
          <w:sz w:val="21"/>
          <w:szCs w:val="21"/>
        </w:rPr>
        <w:t>C405.3.2.2</w:t>
      </w:r>
    </w:p>
    <w:p w14:paraId="09C7B791" w14:textId="77777777" w:rsidR="00E72BFE" w:rsidRDefault="00E72BFE" w:rsidP="00E72BFE">
      <w:pPr>
        <w:widowControl/>
        <w:adjustRightInd w:val="0"/>
        <w:rPr>
          <w:rFonts w:ascii="Segoe UI" w:hAnsi="Segoe UI" w:cs="Segoe UI"/>
          <w:color w:val="000000"/>
          <w:sz w:val="21"/>
          <w:szCs w:val="21"/>
        </w:rPr>
      </w:pPr>
    </w:p>
    <w:p w14:paraId="27A988AB" w14:textId="77777777" w:rsidR="00E72BFE" w:rsidRDefault="00E72BFE" w:rsidP="00E72BFE">
      <w:pPr>
        <w:adjustRightInd w:val="0"/>
        <w:rPr>
          <w:color w:val="000000"/>
          <w:sz w:val="20"/>
          <w:szCs w:val="20"/>
        </w:rPr>
      </w:pPr>
      <w:r w:rsidRPr="00F02310">
        <w:rPr>
          <w:color w:val="000000"/>
          <w:sz w:val="20"/>
          <w:szCs w:val="20"/>
        </w:rPr>
        <w:t>Item #1</w:t>
      </w:r>
      <w:r>
        <w:rPr>
          <w:color w:val="000000"/>
          <w:sz w:val="20"/>
          <w:szCs w:val="20"/>
        </w:rPr>
        <w:t xml:space="preserve"> of Section C505.3.2.2 is </w:t>
      </w:r>
      <w:r w:rsidRPr="00F02310">
        <w:rPr>
          <w:color w:val="000000"/>
          <w:sz w:val="20"/>
          <w:szCs w:val="20"/>
        </w:rPr>
        <w:t xml:space="preserve">a copy </w:t>
      </w:r>
      <w:r>
        <w:rPr>
          <w:color w:val="000000"/>
          <w:sz w:val="20"/>
          <w:szCs w:val="20"/>
        </w:rPr>
        <w:t xml:space="preserve">of item #1 of </w:t>
      </w:r>
      <w:r w:rsidRPr="00F02310">
        <w:rPr>
          <w:color w:val="000000"/>
          <w:sz w:val="20"/>
          <w:szCs w:val="20"/>
        </w:rPr>
        <w:t>the building area method from Section C405.3.2.1.</w:t>
      </w:r>
      <w:r>
        <w:rPr>
          <w:color w:val="000000"/>
          <w:sz w:val="20"/>
          <w:szCs w:val="20"/>
        </w:rPr>
        <w:t xml:space="preserve"> See it below:</w:t>
      </w:r>
      <w:r w:rsidRPr="00F02310">
        <w:rPr>
          <w:color w:val="000000"/>
          <w:sz w:val="20"/>
          <w:szCs w:val="20"/>
        </w:rPr>
        <w:t xml:space="preserve"> </w:t>
      </w:r>
    </w:p>
    <w:p w14:paraId="2DECDB5E" w14:textId="77777777" w:rsidR="00E72BFE" w:rsidRDefault="00E72BFE" w:rsidP="00E72BFE">
      <w:pPr>
        <w:adjustRightInd w:val="0"/>
        <w:rPr>
          <w:color w:val="000000"/>
          <w:sz w:val="20"/>
          <w:szCs w:val="20"/>
        </w:rPr>
      </w:pPr>
    </w:p>
    <w:p w14:paraId="72A8776B" w14:textId="77777777" w:rsidR="00E72BFE" w:rsidRDefault="00E72BFE" w:rsidP="00E72BFE">
      <w:pPr>
        <w:adjustRightInd w:val="0"/>
        <w:rPr>
          <w:color w:val="000000"/>
          <w:sz w:val="20"/>
          <w:szCs w:val="20"/>
        </w:rPr>
      </w:pPr>
      <w:r>
        <w:rPr>
          <w:color w:val="000000"/>
          <w:sz w:val="20"/>
          <w:szCs w:val="20"/>
        </w:rPr>
        <w:t>“</w:t>
      </w:r>
      <w:r w:rsidRPr="00B0390C">
        <w:rPr>
          <w:rFonts w:ascii="TimesNewRoman" w:hAnsi="TimesNewRoman" w:cs="TimesNewRoman"/>
          <w:i/>
          <w:color w:val="FF0000"/>
          <w:sz w:val="20"/>
          <w:szCs w:val="20"/>
        </w:rPr>
        <w:t xml:space="preserve">For each building area type inside the building, determine the applicable building area type and the allowed lighting power density for that type from </w:t>
      </w:r>
      <w:r w:rsidRPr="00C9342E">
        <w:rPr>
          <w:rFonts w:ascii="TimesNewRoman" w:hAnsi="TimesNewRoman" w:cs="TimesNewRoman"/>
          <w:b/>
          <w:i/>
          <w:color w:val="FF0000"/>
          <w:sz w:val="20"/>
          <w:szCs w:val="20"/>
        </w:rPr>
        <w:t>Table C405.3.2(1)</w:t>
      </w:r>
      <w:r w:rsidRPr="00B0390C">
        <w:rPr>
          <w:rFonts w:ascii="TimesNewRoman" w:hAnsi="TimesNewRoman" w:cs="TimesNewRoman"/>
          <w:i/>
          <w:color w:val="FF0000"/>
          <w:sz w:val="20"/>
          <w:szCs w:val="20"/>
        </w:rPr>
        <w:t>. For building area types not listed, select the building area type that most closely represents the use of that area. For the purposes of this method, an “area” shall be defined as all contiguous spaces that accommodate or are associated with a single building area type</w:t>
      </w:r>
      <w:r w:rsidRPr="00B0390C">
        <w:rPr>
          <w:rFonts w:ascii="TimesNewRoman" w:hAnsi="TimesNewRoman" w:cs="TimesNewRoman"/>
          <w:color w:val="FF0000"/>
          <w:sz w:val="20"/>
          <w:szCs w:val="20"/>
        </w:rPr>
        <w:t>.</w:t>
      </w:r>
      <w:r>
        <w:rPr>
          <w:color w:val="000000"/>
          <w:sz w:val="20"/>
          <w:szCs w:val="20"/>
        </w:rPr>
        <w:t>”</w:t>
      </w:r>
    </w:p>
    <w:p w14:paraId="43FA2EA5" w14:textId="77777777" w:rsidR="00E72BFE" w:rsidRDefault="00E72BFE" w:rsidP="00E72BFE">
      <w:pPr>
        <w:adjustRightInd w:val="0"/>
        <w:rPr>
          <w:color w:val="000000"/>
          <w:sz w:val="20"/>
          <w:szCs w:val="20"/>
        </w:rPr>
      </w:pPr>
    </w:p>
    <w:p w14:paraId="6DED37DE" w14:textId="77777777" w:rsidR="00E72BFE" w:rsidRDefault="00E72BFE" w:rsidP="00E72BFE">
      <w:pPr>
        <w:adjustRightInd w:val="0"/>
        <w:rPr>
          <w:color w:val="000000"/>
          <w:sz w:val="20"/>
          <w:szCs w:val="20"/>
        </w:rPr>
      </w:pPr>
      <w:r w:rsidRPr="00F02310">
        <w:rPr>
          <w:color w:val="000000"/>
          <w:sz w:val="20"/>
          <w:szCs w:val="20"/>
        </w:rPr>
        <w:t>Th</w:t>
      </w:r>
      <w:r>
        <w:rPr>
          <w:color w:val="000000"/>
          <w:sz w:val="20"/>
          <w:szCs w:val="20"/>
        </w:rPr>
        <w:t xml:space="preserve">e entire code language does not apply to the space-by-space method and references the wrong table. This must </w:t>
      </w:r>
      <w:proofErr w:type="gramStart"/>
      <w:r>
        <w:rPr>
          <w:color w:val="000000"/>
          <w:sz w:val="20"/>
          <w:szCs w:val="20"/>
        </w:rPr>
        <w:t>be</w:t>
      </w:r>
      <w:proofErr w:type="gramEnd"/>
      <w:r>
        <w:rPr>
          <w:color w:val="000000"/>
          <w:sz w:val="20"/>
          <w:szCs w:val="20"/>
        </w:rPr>
        <w:t xml:space="preserve"> </w:t>
      </w:r>
    </w:p>
    <w:p w14:paraId="6FDC43A2" w14:textId="40853BF4" w:rsidR="00E72BFE" w:rsidRDefault="00E72BFE" w:rsidP="00E72BFE">
      <w:pPr>
        <w:adjustRightInd w:val="0"/>
        <w:rPr>
          <w:color w:val="000000"/>
          <w:sz w:val="20"/>
          <w:szCs w:val="20"/>
        </w:rPr>
      </w:pPr>
      <w:r>
        <w:rPr>
          <w:color w:val="000000"/>
          <w:sz w:val="20"/>
          <w:szCs w:val="20"/>
        </w:rPr>
        <w:t xml:space="preserve">an editorial </w:t>
      </w:r>
      <w:r w:rsidRPr="00F02310">
        <w:rPr>
          <w:color w:val="000000"/>
          <w:sz w:val="20"/>
          <w:szCs w:val="20"/>
        </w:rPr>
        <w:t>error.</w:t>
      </w:r>
      <w:r>
        <w:rPr>
          <w:color w:val="000000"/>
          <w:sz w:val="20"/>
          <w:szCs w:val="20"/>
        </w:rPr>
        <w:t xml:space="preserve"> </w:t>
      </w:r>
    </w:p>
    <w:p w14:paraId="4E1DEA34" w14:textId="77777777" w:rsidR="00E72BFE" w:rsidRDefault="00E72BFE" w:rsidP="00E72BFE">
      <w:pPr>
        <w:adjustRightInd w:val="0"/>
        <w:rPr>
          <w:color w:val="000000"/>
          <w:sz w:val="20"/>
          <w:szCs w:val="20"/>
        </w:rPr>
      </w:pPr>
    </w:p>
    <w:p w14:paraId="05A36A10" w14:textId="75A197A9" w:rsidR="00E72BFE" w:rsidRPr="00F84BF9" w:rsidRDefault="00F84BF9" w:rsidP="00E72BFE">
      <w:pPr>
        <w:adjustRightInd w:val="0"/>
        <w:rPr>
          <w:b/>
          <w:bCs/>
          <w:color w:val="000000"/>
          <w:sz w:val="20"/>
          <w:szCs w:val="20"/>
        </w:rPr>
      </w:pPr>
      <w:bookmarkStart w:id="8" w:name="_Hlk147934423"/>
      <w:r w:rsidRPr="00F84BF9">
        <w:rPr>
          <w:b/>
          <w:bCs/>
          <w:color w:val="000000"/>
          <w:sz w:val="20"/>
          <w:szCs w:val="20"/>
        </w:rPr>
        <w:t>Proposed fix:</w:t>
      </w:r>
    </w:p>
    <w:bookmarkEnd w:id="8"/>
    <w:p w14:paraId="3AD83A18" w14:textId="77777777" w:rsidR="00E72BFE" w:rsidRDefault="00E72BFE" w:rsidP="00E72BFE">
      <w:pPr>
        <w:widowControl/>
        <w:adjustRightInd w:val="0"/>
        <w:rPr>
          <w:rFonts w:eastAsiaTheme="minorHAnsi"/>
          <w:b/>
          <w:bCs/>
          <w14:ligatures w14:val="standardContextual"/>
        </w:rPr>
      </w:pPr>
    </w:p>
    <w:p w14:paraId="2567180E" w14:textId="77777777" w:rsidR="00F84BF9" w:rsidRPr="00F02310" w:rsidRDefault="00F84BF9" w:rsidP="00F84BF9">
      <w:pPr>
        <w:adjustRightInd w:val="0"/>
        <w:rPr>
          <w:color w:val="000000"/>
          <w:sz w:val="20"/>
          <w:szCs w:val="20"/>
        </w:rPr>
      </w:pPr>
      <w:r w:rsidRPr="00F02310">
        <w:rPr>
          <w:color w:val="000000"/>
          <w:sz w:val="20"/>
          <w:szCs w:val="20"/>
        </w:rPr>
        <w:t xml:space="preserve">The correct </w:t>
      </w:r>
      <w:r>
        <w:rPr>
          <w:color w:val="000000"/>
          <w:sz w:val="20"/>
          <w:szCs w:val="20"/>
        </w:rPr>
        <w:t xml:space="preserve">code language </w:t>
      </w:r>
      <w:r w:rsidRPr="00F02310">
        <w:rPr>
          <w:color w:val="000000"/>
          <w:sz w:val="20"/>
          <w:szCs w:val="20"/>
        </w:rPr>
        <w:t>for item #1 of section C405.3.2.2</w:t>
      </w:r>
      <w:r>
        <w:rPr>
          <w:color w:val="000000"/>
          <w:sz w:val="20"/>
          <w:szCs w:val="20"/>
        </w:rPr>
        <w:t>,</w:t>
      </w:r>
      <w:r w:rsidRPr="00F02310">
        <w:rPr>
          <w:color w:val="000000"/>
          <w:sz w:val="20"/>
          <w:szCs w:val="20"/>
        </w:rPr>
        <w:t xml:space="preserve"> </w:t>
      </w:r>
      <w:r>
        <w:rPr>
          <w:color w:val="000000"/>
          <w:sz w:val="20"/>
          <w:szCs w:val="20"/>
        </w:rPr>
        <w:t>fr</w:t>
      </w:r>
      <w:r w:rsidRPr="00F02310">
        <w:rPr>
          <w:color w:val="000000"/>
          <w:sz w:val="20"/>
          <w:szCs w:val="20"/>
        </w:rPr>
        <w:t>om 2021 IECC is</w:t>
      </w:r>
      <w:r>
        <w:rPr>
          <w:color w:val="000000"/>
          <w:sz w:val="20"/>
          <w:szCs w:val="20"/>
        </w:rPr>
        <w:t xml:space="preserve"> shown below</w:t>
      </w:r>
      <w:r w:rsidRPr="00F02310">
        <w:rPr>
          <w:color w:val="000000"/>
          <w:sz w:val="20"/>
          <w:szCs w:val="20"/>
        </w:rPr>
        <w:t>:</w:t>
      </w:r>
    </w:p>
    <w:p w14:paraId="7F1290EC" w14:textId="77777777" w:rsidR="00F84BF9" w:rsidRPr="00F02310" w:rsidRDefault="00F84BF9" w:rsidP="00F84BF9">
      <w:pPr>
        <w:adjustRightInd w:val="0"/>
        <w:rPr>
          <w:color w:val="000000"/>
          <w:sz w:val="20"/>
          <w:szCs w:val="20"/>
        </w:rPr>
      </w:pPr>
    </w:p>
    <w:p w14:paraId="064EA4A6" w14:textId="77777777" w:rsidR="00F84BF9" w:rsidRPr="00F02310" w:rsidRDefault="00F84BF9" w:rsidP="00F84BF9">
      <w:pPr>
        <w:adjustRightInd w:val="0"/>
        <w:rPr>
          <w:color w:val="000000"/>
          <w:sz w:val="20"/>
          <w:szCs w:val="20"/>
        </w:rPr>
      </w:pPr>
      <w:r w:rsidRPr="00F02310">
        <w:rPr>
          <w:color w:val="000000"/>
          <w:sz w:val="20"/>
          <w:szCs w:val="20"/>
        </w:rPr>
        <w:t>"</w:t>
      </w:r>
      <w:r w:rsidRPr="00F02310">
        <w:rPr>
          <w:i/>
          <w:color w:val="000000"/>
          <w:sz w:val="20"/>
          <w:szCs w:val="20"/>
        </w:rPr>
        <w:t xml:space="preserve">For each space enclosed by partitions that are less than 80 percent of the ceiling height, determine the applicable space type from Table C405.3.2(2). For space types not listed, select the space type that most closely represents the </w:t>
      </w:r>
      <w:r w:rsidRPr="00F02310">
        <w:rPr>
          <w:i/>
          <w:color w:val="000000"/>
          <w:sz w:val="20"/>
          <w:szCs w:val="20"/>
        </w:rPr>
        <w:lastRenderedPageBreak/>
        <w:t>proposed use of the space. Where a space has multiple functions, the space may be divided into separate spaces</w:t>
      </w:r>
      <w:r w:rsidRPr="00F02310">
        <w:rPr>
          <w:color w:val="000000"/>
          <w:sz w:val="20"/>
          <w:szCs w:val="20"/>
        </w:rPr>
        <w:t>."</w:t>
      </w:r>
    </w:p>
    <w:p w14:paraId="18C3FCEE" w14:textId="77777777" w:rsidR="00E72BFE" w:rsidRDefault="00E72BFE" w:rsidP="00E72BFE">
      <w:pPr>
        <w:widowControl/>
        <w:adjustRightInd w:val="0"/>
        <w:rPr>
          <w:rFonts w:eastAsiaTheme="minorHAnsi"/>
          <w:color w:val="FF0000"/>
          <w14:ligatures w14:val="standardContextual"/>
        </w:rPr>
      </w:pPr>
    </w:p>
    <w:p w14:paraId="52974425" w14:textId="77777777" w:rsidR="00B439F9" w:rsidRDefault="00B439F9" w:rsidP="00F84BF9">
      <w:pPr>
        <w:rPr>
          <w:rFonts w:ascii="TimesNewRoman" w:eastAsiaTheme="minorHAnsi" w:hAnsi="TimesNewRoman" w:cs="TimesNewRoman"/>
          <w:b/>
          <w:bCs/>
          <w:sz w:val="18"/>
          <w:szCs w:val="18"/>
          <w14:ligatures w14:val="standardContextual"/>
        </w:rPr>
      </w:pPr>
      <w:bookmarkStart w:id="9" w:name="_Hlk147935402"/>
    </w:p>
    <w:p w14:paraId="4276FA7B" w14:textId="41D85E94" w:rsidR="00B439F9" w:rsidRDefault="00B439F9" w:rsidP="00B439F9">
      <w:pPr>
        <w:widowControl/>
        <w:numPr>
          <w:ilvl w:val="0"/>
          <w:numId w:val="2"/>
        </w:numPr>
        <w:autoSpaceDE/>
        <w:autoSpaceDN/>
      </w:pPr>
      <w:r>
        <w:t>Glitch criteria:</w:t>
      </w:r>
    </w:p>
    <w:p w14:paraId="697425FC" w14:textId="77777777" w:rsidR="00B439F9" w:rsidRPr="00DF32F4" w:rsidRDefault="00B439F9" w:rsidP="00B439F9">
      <w:pPr>
        <w:pStyle w:val="NormalWeb"/>
        <w:numPr>
          <w:ilvl w:val="0"/>
          <w:numId w:val="1"/>
        </w:numPr>
        <w:rPr>
          <w:color w:val="FF0000"/>
        </w:rPr>
      </w:pPr>
      <w:r w:rsidRPr="00B439F9">
        <w:rPr>
          <w:color w:val="FF0000"/>
          <w:u w:val="single"/>
        </w:rPr>
        <w:t xml:space="preserve">Conflicts within the updated </w:t>
      </w:r>
      <w:proofErr w:type="gramStart"/>
      <w:r w:rsidRPr="00B439F9">
        <w:rPr>
          <w:color w:val="FF0000"/>
          <w:u w:val="single"/>
        </w:rPr>
        <w:t>code</w:t>
      </w:r>
      <w:r w:rsidRPr="00DF32F4">
        <w:rPr>
          <w:color w:val="FF0000"/>
        </w:rPr>
        <w:t>;</w:t>
      </w:r>
      <w:proofErr w:type="gramEnd"/>
      <w:r w:rsidRPr="00DF32F4">
        <w:rPr>
          <w:color w:val="FF0000"/>
        </w:rPr>
        <w:t xml:space="preserve"> </w:t>
      </w:r>
    </w:p>
    <w:p w14:paraId="1384E7BF" w14:textId="77777777" w:rsidR="00B439F9" w:rsidRPr="00B439F9" w:rsidRDefault="00B439F9" w:rsidP="00B439F9">
      <w:pPr>
        <w:pStyle w:val="NormalWeb"/>
        <w:numPr>
          <w:ilvl w:val="0"/>
          <w:numId w:val="1"/>
        </w:numPr>
        <w:rPr>
          <w:color w:val="FF0000"/>
          <w:u w:val="single"/>
        </w:rPr>
      </w:pPr>
      <w:r w:rsidRPr="00B439F9">
        <w:rPr>
          <w:color w:val="FF0000"/>
          <w:u w:val="single"/>
        </w:rPr>
        <w:t xml:space="preserve">Unintended results from the integration of previously adopted Florida-specific amendments with the model code. </w:t>
      </w:r>
    </w:p>
    <w:p w14:paraId="6CBB56F6" w14:textId="77777777" w:rsidR="00B439F9" w:rsidRDefault="00B439F9" w:rsidP="00B439F9">
      <w:pPr>
        <w:pStyle w:val="NormalWeb"/>
        <w:numPr>
          <w:ilvl w:val="0"/>
          <w:numId w:val="2"/>
        </w:numPr>
      </w:pPr>
      <w:r>
        <w:t>The proponent must address as part of the rationale for the proposed code change the following:</w:t>
      </w:r>
    </w:p>
    <w:p w14:paraId="6A040DA1" w14:textId="77777777" w:rsidR="00B439F9" w:rsidRDefault="00B439F9" w:rsidP="00B439F9">
      <w:pPr>
        <w:pStyle w:val="NormalWeb"/>
        <w:numPr>
          <w:ilvl w:val="0"/>
          <w:numId w:val="3"/>
        </w:numPr>
      </w:pPr>
      <w:r>
        <w:t>Whether the proposed code change falls within the glitch criteria stated above.</w:t>
      </w:r>
    </w:p>
    <w:p w14:paraId="388BD9D7" w14:textId="77777777" w:rsidR="00B439F9" w:rsidRPr="00FC1437" w:rsidRDefault="00B439F9" w:rsidP="00B439F9">
      <w:pPr>
        <w:pStyle w:val="NormalWeb"/>
        <w:ind w:left="1170"/>
        <w:rPr>
          <w:i/>
        </w:rPr>
      </w:pPr>
      <w:r w:rsidRPr="00FC1437">
        <w:rPr>
          <w:i/>
        </w:rPr>
        <w:t xml:space="preserve">Yes, the proposed code change falls within the glitch criteria stated above per (1) Conflicts within the updated code and (2) Unintended results from the integration of previously adopted Florida-specific amendments with the model code. </w:t>
      </w:r>
    </w:p>
    <w:p w14:paraId="6830ECB6" w14:textId="77777777" w:rsidR="00B439F9" w:rsidRDefault="00B439F9" w:rsidP="00B439F9">
      <w:pPr>
        <w:pStyle w:val="NormalWeb"/>
        <w:numPr>
          <w:ilvl w:val="0"/>
          <w:numId w:val="3"/>
        </w:numPr>
      </w:pPr>
      <w:r>
        <w:t>Whether the proposed code change has a Florida specific need.</w:t>
      </w:r>
    </w:p>
    <w:p w14:paraId="37F5F9A1" w14:textId="77777777" w:rsidR="00B439F9" w:rsidRDefault="00B439F9" w:rsidP="00B439F9">
      <w:pPr>
        <w:pStyle w:val="NormalWeb"/>
        <w:ind w:left="1080"/>
      </w:pPr>
      <w:r w:rsidRPr="00FC1437">
        <w:rPr>
          <w:i/>
        </w:rPr>
        <w:t>Yes, it impacts any building that uses a space-by-space method for lighting compliance</w:t>
      </w:r>
      <w:r>
        <w:t>.</w:t>
      </w:r>
    </w:p>
    <w:p w14:paraId="72766476" w14:textId="77777777" w:rsidR="00B439F9" w:rsidRDefault="00B439F9" w:rsidP="00B439F9">
      <w:pPr>
        <w:pStyle w:val="NormalWeb"/>
        <w:numPr>
          <w:ilvl w:val="0"/>
          <w:numId w:val="3"/>
        </w:numPr>
      </w:pPr>
      <w:r>
        <w:t>What the impact is on small businesses.</w:t>
      </w:r>
    </w:p>
    <w:p w14:paraId="42F8EDF1" w14:textId="77777777" w:rsidR="00B439F9" w:rsidRPr="00FC1437" w:rsidRDefault="00B439F9" w:rsidP="00B439F9">
      <w:pPr>
        <w:pStyle w:val="NormalWeb"/>
        <w:ind w:left="1080"/>
        <w:rPr>
          <w:i/>
        </w:rPr>
      </w:pPr>
      <w:r w:rsidRPr="00FC1437">
        <w:rPr>
          <w:i/>
        </w:rPr>
        <w:t>This change improves the code implementation and avoids confusion.</w:t>
      </w:r>
    </w:p>
    <w:p w14:paraId="62CCFFC1" w14:textId="77777777" w:rsidR="00B439F9" w:rsidRDefault="00B439F9" w:rsidP="00B439F9">
      <w:pPr>
        <w:pStyle w:val="NormalWeb"/>
        <w:numPr>
          <w:ilvl w:val="0"/>
          <w:numId w:val="3"/>
        </w:numPr>
      </w:pPr>
      <w:r>
        <w:t xml:space="preserve">Whether the proposed code change has a reasonable and substantial connection with the health, safety, and welfare of the </w:t>
      </w:r>
      <w:proofErr w:type="gramStart"/>
      <w:r>
        <w:t>general public</w:t>
      </w:r>
      <w:proofErr w:type="gramEnd"/>
      <w:r>
        <w:t>.</w:t>
      </w:r>
    </w:p>
    <w:p w14:paraId="6D7C7AB5" w14:textId="77777777" w:rsidR="00B439F9" w:rsidRPr="0011098E" w:rsidRDefault="00B439F9" w:rsidP="00B439F9">
      <w:pPr>
        <w:adjustRightInd w:val="0"/>
        <w:ind w:left="1080"/>
        <w:rPr>
          <w:i/>
        </w:rPr>
      </w:pPr>
      <w:r w:rsidRPr="0011098E">
        <w:rPr>
          <w:i/>
        </w:rPr>
        <w:t xml:space="preserve">Item #1 of Section C505.3.2.2, shown below, is an identical copy of item #1 of the building area method of Section C405.3.2.1, and it is not applicable to the space-by-space method. </w:t>
      </w:r>
    </w:p>
    <w:p w14:paraId="5B7C6BA9" w14:textId="77777777" w:rsidR="00B439F9" w:rsidRPr="0011098E" w:rsidRDefault="00B439F9" w:rsidP="00B439F9">
      <w:pPr>
        <w:adjustRightInd w:val="0"/>
        <w:ind w:left="1080"/>
        <w:rPr>
          <w:i/>
        </w:rPr>
      </w:pPr>
    </w:p>
    <w:p w14:paraId="4F3B209D" w14:textId="77777777" w:rsidR="00B439F9" w:rsidRPr="0011098E" w:rsidRDefault="00B439F9" w:rsidP="00B439F9">
      <w:pPr>
        <w:adjustRightInd w:val="0"/>
        <w:ind w:left="1080"/>
        <w:rPr>
          <w:i/>
        </w:rPr>
      </w:pPr>
      <w:r w:rsidRPr="0011098E">
        <w:rPr>
          <w:i/>
        </w:rPr>
        <w:t xml:space="preserve">“For each building area type inside the building, determine the applicable building area type and the allowed lighting power density for that type from </w:t>
      </w:r>
      <w:r w:rsidRPr="0011098E">
        <w:rPr>
          <w:b/>
          <w:i/>
        </w:rPr>
        <w:t>Table C405.3.2(1)</w:t>
      </w:r>
      <w:r w:rsidRPr="0011098E">
        <w:rPr>
          <w:i/>
        </w:rPr>
        <w:t>. For building area types not listed, select the building area type that most closely represents the use of that area. For the purposes of this method, an “area” shall be defined as all contiguous spaces that accommodate or are associated with a single building area type.”</w:t>
      </w:r>
    </w:p>
    <w:p w14:paraId="2A5F084B" w14:textId="77777777" w:rsidR="00B439F9" w:rsidRPr="0011098E" w:rsidRDefault="00B439F9" w:rsidP="00B439F9">
      <w:pPr>
        <w:adjustRightInd w:val="0"/>
        <w:ind w:left="1080"/>
        <w:rPr>
          <w:i/>
        </w:rPr>
      </w:pPr>
    </w:p>
    <w:p w14:paraId="1ACDF63F" w14:textId="77777777" w:rsidR="00B439F9" w:rsidRDefault="00B439F9" w:rsidP="00B439F9">
      <w:pPr>
        <w:pStyle w:val="NormalWeb"/>
        <w:spacing w:before="0" w:beforeAutospacing="0" w:after="0" w:afterAutospacing="0"/>
        <w:ind w:left="1080"/>
        <w:rPr>
          <w:i/>
        </w:rPr>
      </w:pPr>
      <w:r w:rsidRPr="0011098E">
        <w:rPr>
          <w:i/>
        </w:rPr>
        <w:t xml:space="preserve">The </w:t>
      </w:r>
      <w:r>
        <w:rPr>
          <w:i/>
        </w:rPr>
        <w:t xml:space="preserve">code language above should be replaced with the text shown </w:t>
      </w:r>
      <w:r w:rsidRPr="0011098E">
        <w:rPr>
          <w:i/>
        </w:rPr>
        <w:t xml:space="preserve">below </w:t>
      </w:r>
      <w:r>
        <w:rPr>
          <w:i/>
        </w:rPr>
        <w:t xml:space="preserve">to be applicable to </w:t>
      </w:r>
      <w:r w:rsidRPr="0011098E">
        <w:rPr>
          <w:i/>
        </w:rPr>
        <w:t>the space-by-space method. Also, this change points to the correct table</w:t>
      </w:r>
      <w:r>
        <w:rPr>
          <w:i/>
        </w:rPr>
        <w:t xml:space="preserve"> C405.3.2(2) for the space-by-space method</w:t>
      </w:r>
      <w:r w:rsidRPr="0011098E">
        <w:rPr>
          <w:i/>
        </w:rPr>
        <w:t>. The correct text of item #1 of section C405.3.2.2 was taken from the</w:t>
      </w:r>
      <w:r>
        <w:rPr>
          <w:i/>
        </w:rPr>
        <w:t xml:space="preserve"> published</w:t>
      </w:r>
      <w:r w:rsidRPr="0011098E">
        <w:rPr>
          <w:i/>
        </w:rPr>
        <w:t xml:space="preserve"> 2021 IECC</w:t>
      </w:r>
      <w:r>
        <w:rPr>
          <w:i/>
        </w:rPr>
        <w:t>.</w:t>
      </w:r>
    </w:p>
    <w:p w14:paraId="6A6C8FEC" w14:textId="77777777" w:rsidR="00B439F9" w:rsidRPr="0011098E" w:rsidRDefault="00B439F9" w:rsidP="00B439F9">
      <w:pPr>
        <w:pStyle w:val="NormalWeb"/>
        <w:spacing w:before="0" w:beforeAutospacing="0" w:after="0" w:afterAutospacing="0"/>
        <w:ind w:left="1080"/>
        <w:rPr>
          <w:i/>
        </w:rPr>
      </w:pPr>
    </w:p>
    <w:p w14:paraId="61DA440C" w14:textId="77777777" w:rsidR="00B439F9" w:rsidRPr="0011098E" w:rsidRDefault="00B439F9" w:rsidP="00B439F9">
      <w:pPr>
        <w:adjustRightInd w:val="0"/>
        <w:ind w:left="1080"/>
        <w:rPr>
          <w:i/>
        </w:rPr>
      </w:pPr>
      <w:r w:rsidRPr="0011098E">
        <w:rPr>
          <w:i/>
        </w:rPr>
        <w:t xml:space="preserve">"For each space enclosed by partitions that are less than 80 percent of the ceiling height, determine the applicable space type from </w:t>
      </w:r>
      <w:r w:rsidRPr="0011098E">
        <w:rPr>
          <w:b/>
          <w:i/>
        </w:rPr>
        <w:t>Table C405.3.2(2)</w:t>
      </w:r>
      <w:r w:rsidRPr="0011098E">
        <w:rPr>
          <w:i/>
        </w:rPr>
        <w:t>. For space types not listed, select the space type that most closely represents the proposed use of the space. Where a space has multiple functions, the space may be divided into separate spaces."</w:t>
      </w:r>
    </w:p>
    <w:p w14:paraId="0D716F1B" w14:textId="77777777" w:rsidR="00B439F9" w:rsidRDefault="00B439F9" w:rsidP="00B439F9">
      <w:pPr>
        <w:pStyle w:val="NormalWeb"/>
        <w:numPr>
          <w:ilvl w:val="0"/>
          <w:numId w:val="3"/>
        </w:numPr>
      </w:pPr>
      <w:r>
        <w:lastRenderedPageBreak/>
        <w:t>Whether the proposed code change strengthens or improves the Florida Building Code.</w:t>
      </w:r>
    </w:p>
    <w:p w14:paraId="53C0241E" w14:textId="77777777" w:rsidR="00B439F9" w:rsidRDefault="00B439F9" w:rsidP="00B439F9">
      <w:pPr>
        <w:pStyle w:val="NormalWeb"/>
        <w:ind w:left="1080"/>
      </w:pPr>
      <w:r w:rsidRPr="00DF32F4">
        <w:rPr>
          <w:i/>
        </w:rPr>
        <w:t xml:space="preserve">The proposed glitch code changes eliminate code enforcement confusion by correcting the code language of Section C405.3.2.2 and correcting table </w:t>
      </w:r>
      <w:r>
        <w:rPr>
          <w:i/>
        </w:rPr>
        <w:t>references</w:t>
      </w:r>
      <w:r>
        <w:t xml:space="preserve">. </w:t>
      </w:r>
      <w:r w:rsidRPr="00DF32F4">
        <w:rPr>
          <w:i/>
        </w:rPr>
        <w:t xml:space="preserve">This error </w:t>
      </w:r>
      <w:r>
        <w:rPr>
          <w:i/>
        </w:rPr>
        <w:t xml:space="preserve">originally </w:t>
      </w:r>
      <w:r w:rsidRPr="00DF32F4">
        <w:rPr>
          <w:i/>
        </w:rPr>
        <w:t>came from the 2021 ICC but must have been corrected before publication.</w:t>
      </w:r>
      <w:r>
        <w:t xml:space="preserve"> </w:t>
      </w:r>
    </w:p>
    <w:p w14:paraId="0D366D6A" w14:textId="77777777" w:rsidR="00B439F9" w:rsidRDefault="00B439F9" w:rsidP="00B439F9">
      <w:pPr>
        <w:pStyle w:val="NormalWeb"/>
        <w:numPr>
          <w:ilvl w:val="0"/>
          <w:numId w:val="3"/>
        </w:numPr>
      </w:pPr>
      <w:r>
        <w:t>The proposed code change does not discriminate against materials, products, methods, or systems of construction of demonstrated capabilities.</w:t>
      </w:r>
    </w:p>
    <w:p w14:paraId="7C103F2A" w14:textId="77777777" w:rsidR="00B439F9" w:rsidRPr="0011098E" w:rsidRDefault="00B439F9" w:rsidP="00B439F9">
      <w:pPr>
        <w:pStyle w:val="NormalWeb"/>
        <w:ind w:left="1080"/>
        <w:rPr>
          <w:b/>
          <w:i/>
        </w:rPr>
      </w:pPr>
      <w:r w:rsidRPr="0011098E">
        <w:rPr>
          <w:b/>
          <w:i/>
        </w:rPr>
        <w:t xml:space="preserve">No discrimination. </w:t>
      </w:r>
    </w:p>
    <w:p w14:paraId="16542F4A" w14:textId="77777777" w:rsidR="00B439F9" w:rsidRDefault="00B439F9" w:rsidP="00B439F9">
      <w:pPr>
        <w:pStyle w:val="NormalWeb"/>
        <w:numPr>
          <w:ilvl w:val="0"/>
          <w:numId w:val="3"/>
        </w:numPr>
      </w:pPr>
      <w:r>
        <w:t>The proposed code change does not degrade the effectiveness of the Florida Building Code.</w:t>
      </w:r>
    </w:p>
    <w:p w14:paraId="36A6D544" w14:textId="77777777" w:rsidR="00B439F9" w:rsidRPr="0011098E" w:rsidRDefault="00B439F9" w:rsidP="00B439F9">
      <w:pPr>
        <w:pStyle w:val="NormalWeb"/>
        <w:ind w:left="1080"/>
        <w:rPr>
          <w:b/>
          <w:i/>
        </w:rPr>
      </w:pPr>
      <w:r w:rsidRPr="0011098E">
        <w:rPr>
          <w:b/>
          <w:i/>
        </w:rPr>
        <w:t xml:space="preserve">No discrimination. </w:t>
      </w:r>
    </w:p>
    <w:p w14:paraId="71EFDE28" w14:textId="2B5DA26E" w:rsidR="00F84BF9" w:rsidRPr="00DD108E" w:rsidRDefault="00F84BF9" w:rsidP="00F84BF9">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1A2A8B09" w14:textId="77777777" w:rsidR="00F84BF9" w:rsidRPr="00DD108E" w:rsidRDefault="00F84BF9" w:rsidP="00F84BF9">
      <w:pPr>
        <w:rPr>
          <w:rFonts w:ascii="TimesNewRoman" w:eastAsiaTheme="minorHAnsi" w:hAnsi="TimesNewRoman" w:cs="TimesNewRoman"/>
          <w:sz w:val="20"/>
          <w:szCs w:val="20"/>
          <w14:ligatures w14:val="standardContextual"/>
        </w:rPr>
      </w:pPr>
    </w:p>
    <w:p w14:paraId="6D249E53" w14:textId="77777777" w:rsidR="00F84BF9" w:rsidRPr="00DD108E" w:rsidRDefault="00F84BF9" w:rsidP="00F84BF9">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9"/>
    <w:p w14:paraId="2D7AC7BA" w14:textId="77777777" w:rsidR="00E72BFE" w:rsidRPr="00DD108E" w:rsidRDefault="00E72BFE" w:rsidP="00B45751">
      <w:pPr>
        <w:widowControl/>
        <w:adjustRightInd w:val="0"/>
        <w:rPr>
          <w:rFonts w:ascii="Arial,Bold" w:eastAsiaTheme="minorHAnsi" w:hAnsi="Arial,Bold" w:cs="Arial,Bold"/>
          <w:b/>
          <w:bCs/>
          <w:sz w:val="20"/>
          <w:szCs w:val="20"/>
          <w14:ligatures w14:val="standardContextual"/>
        </w:rPr>
      </w:pPr>
    </w:p>
    <w:p w14:paraId="1F428EAE" w14:textId="77777777" w:rsidR="00925CED" w:rsidRDefault="00925CED" w:rsidP="00925CED">
      <w:pPr>
        <w:rPr>
          <w:rFonts w:ascii="TimesNewRoman" w:eastAsiaTheme="minorHAnsi" w:hAnsi="TimesNewRoman" w:cs="TimesNewRoman"/>
          <w:b/>
          <w:bCs/>
          <w:color w:val="FF0000"/>
          <w:sz w:val="20"/>
          <w:szCs w:val="20"/>
          <w:u w:val="single"/>
        </w:rPr>
      </w:pPr>
      <w:bookmarkStart w:id="10" w:name="_Hlk153733096"/>
      <w:r>
        <w:rPr>
          <w:rFonts w:ascii="TimesNewRoman" w:eastAsiaTheme="minorHAnsi" w:hAnsi="TimesNewRoman" w:cs="TimesNewRoman"/>
          <w:b/>
          <w:bCs/>
          <w:color w:val="FF0000"/>
          <w:sz w:val="20"/>
          <w:szCs w:val="20"/>
          <w:u w:val="single"/>
        </w:rPr>
        <w:t xml:space="preserve">Comment – </w:t>
      </w:r>
    </w:p>
    <w:p w14:paraId="576859B0" w14:textId="77777777" w:rsidR="00925CED" w:rsidRDefault="00925CED" w:rsidP="00925CED">
      <w:pPr>
        <w:rPr>
          <w:rFonts w:ascii="TimesNewRoman" w:eastAsiaTheme="minorHAnsi" w:hAnsi="TimesNewRoman" w:cs="TimesNewRoman"/>
          <w:b/>
          <w:bCs/>
          <w:color w:val="FF0000"/>
          <w:sz w:val="20"/>
          <w:szCs w:val="20"/>
          <w:u w:val="single"/>
        </w:rPr>
      </w:pPr>
    </w:p>
    <w:p w14:paraId="5945A2C8" w14:textId="77777777" w:rsidR="00925CED" w:rsidRDefault="00925CED" w:rsidP="00925CED">
      <w:pPr>
        <w:rPr>
          <w:b/>
          <w:bCs/>
        </w:rPr>
      </w:pPr>
      <w:r>
        <w:rPr>
          <w:b/>
          <w:bCs/>
        </w:rPr>
        <w:t>BOAF Building Officials Association of Florida CDC Code Development Committee</w:t>
      </w:r>
    </w:p>
    <w:bookmarkEnd w:id="10"/>
    <w:p w14:paraId="5F82B76F" w14:textId="77777777" w:rsidR="00925CED" w:rsidRDefault="00925CED" w:rsidP="00925CED">
      <w:pPr>
        <w:rPr>
          <w:b/>
          <w:bCs/>
        </w:rPr>
      </w:pPr>
    </w:p>
    <w:p w14:paraId="7EE676C6" w14:textId="77777777" w:rsidR="00925CED" w:rsidRDefault="00925CED" w:rsidP="00925CED">
      <w:pPr>
        <w:rPr>
          <w:b/>
          <w:bCs/>
        </w:rPr>
      </w:pPr>
      <w:r>
        <w:rPr>
          <w:b/>
          <w:bCs/>
        </w:rPr>
        <w:t>Proposal:</w:t>
      </w:r>
      <w:r>
        <w:rPr>
          <w:b/>
          <w:bCs/>
        </w:rPr>
        <w:tab/>
      </w:r>
      <w:r>
        <w:rPr>
          <w:b/>
          <w:bCs/>
        </w:rPr>
        <w:tab/>
        <w:t>fix for editorial issue with section C405.3.2.2 section does not apply to space-by -space method fix indicates correct wording</w:t>
      </w:r>
    </w:p>
    <w:p w14:paraId="6A679418" w14:textId="77777777" w:rsidR="00925CED" w:rsidRDefault="00925CED" w:rsidP="00925CED">
      <w:pPr>
        <w:rPr>
          <w:b/>
          <w:bCs/>
        </w:rPr>
      </w:pPr>
      <w:r>
        <w:rPr>
          <w:b/>
          <w:bCs/>
        </w:rPr>
        <w:t>Comment:</w:t>
      </w:r>
      <w:r>
        <w:rPr>
          <w:b/>
          <w:bCs/>
        </w:rPr>
        <w:tab/>
      </w:r>
      <w:r>
        <w:rPr>
          <w:b/>
          <w:bCs/>
        </w:rPr>
        <w:tab/>
        <w:t xml:space="preserve">In proposed reasoning Mr. </w:t>
      </w:r>
      <w:proofErr w:type="spellStart"/>
      <w:r>
        <w:rPr>
          <w:b/>
          <w:bCs/>
        </w:rPr>
        <w:t>Nigusse</w:t>
      </w:r>
      <w:proofErr w:type="spellEnd"/>
      <w:r>
        <w:rPr>
          <w:b/>
          <w:bCs/>
        </w:rPr>
        <w:t xml:space="preserve"> accidentally starts by referencing the wrong section C505.3.2.2 should be C405.3.2.2. Agree with copied duplicate wording and correction needed for Space </w:t>
      </w:r>
      <w:proofErr w:type="gramStart"/>
      <w:r>
        <w:rPr>
          <w:b/>
          <w:bCs/>
        </w:rPr>
        <w:t>By</w:t>
      </w:r>
      <w:proofErr w:type="gramEnd"/>
      <w:r>
        <w:rPr>
          <w:b/>
          <w:bCs/>
        </w:rPr>
        <w:t xml:space="preserve"> Space method wording and correct Table.</w:t>
      </w:r>
      <w:r>
        <w:rPr>
          <w:b/>
          <w:bCs/>
        </w:rPr>
        <w:tab/>
      </w:r>
    </w:p>
    <w:p w14:paraId="6EA45B73" w14:textId="22A95AD3" w:rsidR="00925CED" w:rsidRDefault="00925CED" w:rsidP="00925CED">
      <w:pPr>
        <w:widowControl/>
        <w:adjustRightInd w:val="0"/>
        <w:rPr>
          <w:rFonts w:eastAsiaTheme="minorHAnsi"/>
          <w:color w:val="FF0000"/>
          <w14:ligatures w14:val="standardContextual"/>
        </w:rPr>
      </w:pPr>
      <w:r>
        <w:rPr>
          <w:b/>
          <w:bCs/>
        </w:rPr>
        <w:t>Approve/Oppose:</w:t>
      </w:r>
      <w:r>
        <w:rPr>
          <w:b/>
          <w:bCs/>
        </w:rPr>
        <w:tab/>
      </w:r>
      <w:r>
        <w:rPr>
          <w:b/>
          <w:bCs/>
          <w:highlight w:val="yellow"/>
        </w:rPr>
        <w:t>Approve</w:t>
      </w:r>
    </w:p>
    <w:p w14:paraId="09395E41" w14:textId="77777777" w:rsidR="00925CED" w:rsidRDefault="00925CED" w:rsidP="00F84BF9">
      <w:pPr>
        <w:widowControl/>
        <w:adjustRightInd w:val="0"/>
        <w:rPr>
          <w:rFonts w:eastAsiaTheme="minorHAnsi"/>
          <w:color w:val="FF0000"/>
          <w14:ligatures w14:val="standardContextual"/>
        </w:rPr>
      </w:pPr>
    </w:p>
    <w:p w14:paraId="7FAAD354" w14:textId="77777777" w:rsidR="00925CED" w:rsidRDefault="00925CED" w:rsidP="00F84BF9">
      <w:pPr>
        <w:widowControl/>
        <w:adjustRightInd w:val="0"/>
        <w:rPr>
          <w:rFonts w:eastAsiaTheme="minorHAnsi"/>
          <w:color w:val="FF0000"/>
          <w14:ligatures w14:val="standardContextual"/>
        </w:rPr>
      </w:pPr>
    </w:p>
    <w:p w14:paraId="567268AF" w14:textId="78E18B52" w:rsidR="00F84BF9" w:rsidRDefault="00F84BF9" w:rsidP="00F84BF9">
      <w:pPr>
        <w:widowControl/>
        <w:adjustRightInd w:val="0"/>
        <w:rPr>
          <w:rFonts w:eastAsiaTheme="minorHAnsi"/>
          <w:color w:val="FF0000"/>
          <w14:ligatures w14:val="standardContextual"/>
        </w:rPr>
      </w:pPr>
      <w:r w:rsidRPr="005E63E4">
        <w:rPr>
          <w:rFonts w:eastAsiaTheme="minorHAnsi"/>
          <w:color w:val="FF0000"/>
          <w14:ligatures w14:val="standardContextual"/>
        </w:rPr>
        <w:t>EN-FBC-EC/C –</w:t>
      </w:r>
      <w:r w:rsidR="00F265FD">
        <w:rPr>
          <w:rFonts w:eastAsiaTheme="minorHAnsi"/>
          <w:color w:val="FF0000"/>
          <w14:ligatures w14:val="standardContextual"/>
        </w:rPr>
        <w:t xml:space="preserve"> Ch. 4 -</w:t>
      </w:r>
      <w:r w:rsidRPr="005E63E4">
        <w:rPr>
          <w:rFonts w:eastAsiaTheme="minorHAnsi"/>
          <w:color w:val="FF0000"/>
          <w14:ligatures w14:val="standardContextual"/>
        </w:rPr>
        <w:t xml:space="preserve"> Errata</w:t>
      </w:r>
      <w:r w:rsidR="00F265FD">
        <w:rPr>
          <w:rFonts w:eastAsiaTheme="minorHAnsi"/>
          <w:color w:val="FF0000"/>
          <w14:ligatures w14:val="standardContextual"/>
        </w:rPr>
        <w:t xml:space="preserve"> #5</w:t>
      </w:r>
    </w:p>
    <w:p w14:paraId="7E26EE4B" w14:textId="77777777" w:rsidR="00F84BF9" w:rsidRDefault="00F84BF9" w:rsidP="00F84BF9">
      <w:pPr>
        <w:widowControl/>
        <w:adjustRightInd w:val="0"/>
        <w:rPr>
          <w:rFonts w:eastAsiaTheme="minorHAnsi"/>
          <w:color w:val="FF0000"/>
          <w14:ligatures w14:val="standardContextual"/>
        </w:rPr>
      </w:pPr>
    </w:p>
    <w:p w14:paraId="3690A297" w14:textId="77777777" w:rsidR="00F84BF9" w:rsidRDefault="00F84BF9" w:rsidP="00F84BF9">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65BA51B2" w14:textId="77777777" w:rsidR="00F84BF9" w:rsidRDefault="00F84BF9" w:rsidP="00F84BF9">
      <w:pPr>
        <w:widowControl/>
        <w:adjustRightInd w:val="0"/>
        <w:rPr>
          <w:rFonts w:eastAsiaTheme="minorHAnsi"/>
          <w:b/>
          <w:bCs/>
          <w14:ligatures w14:val="standardContextual"/>
        </w:rPr>
      </w:pPr>
    </w:p>
    <w:p w14:paraId="3BA56B42" w14:textId="77777777" w:rsidR="00F84BF9" w:rsidRDefault="00F84BF9" w:rsidP="00F84BF9">
      <w:pPr>
        <w:adjustRightInd w:val="0"/>
        <w:rPr>
          <w:bCs/>
          <w:sz w:val="20"/>
          <w:szCs w:val="20"/>
        </w:rPr>
      </w:pPr>
      <w:r w:rsidRPr="00783A77">
        <w:rPr>
          <w:bCs/>
          <w:sz w:val="20"/>
          <w:szCs w:val="20"/>
        </w:rPr>
        <w:t>C405.3.2.2.1 Additional interior lighting power</w:t>
      </w:r>
    </w:p>
    <w:p w14:paraId="1D11E774" w14:textId="77777777" w:rsidR="00F84BF9" w:rsidRDefault="00F84BF9" w:rsidP="00F84BF9">
      <w:pPr>
        <w:adjustRightInd w:val="0"/>
        <w:rPr>
          <w:bCs/>
          <w:sz w:val="20"/>
          <w:szCs w:val="20"/>
        </w:rPr>
      </w:pPr>
    </w:p>
    <w:p w14:paraId="4D2950AD" w14:textId="15D2E90B"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“Where using the Space-by-Space Method, an increase in the interior lighting power allowance is permitted for specific lighting functions. Additional power shall be permitted only where the specified lighting is installed and controlled in accordance with </w:t>
      </w:r>
      <w:r w:rsidRPr="00C9342E">
        <w:rPr>
          <w:rFonts w:ascii="TimesNewRoman" w:hAnsi="TimesNewRoman" w:cs="TimesNewRoman"/>
          <w:b/>
          <w:color w:val="FF0000"/>
          <w:sz w:val="20"/>
          <w:szCs w:val="20"/>
        </w:rPr>
        <w:t>Section C405.2.4</w:t>
      </w:r>
      <w:r>
        <w:rPr>
          <w:rFonts w:ascii="TimesNewRoman" w:hAnsi="TimesNewRoman" w:cs="TimesNewRoman"/>
          <w:sz w:val="20"/>
          <w:szCs w:val="20"/>
        </w:rPr>
        <w:t>. This additional power shall be used only for the specified luminaires and shall not be used for any other purpose. “</w:t>
      </w:r>
    </w:p>
    <w:p w14:paraId="4508E6F2" w14:textId="77777777" w:rsidR="00F84BF9" w:rsidRDefault="00F84BF9" w:rsidP="00F84BF9">
      <w:pPr>
        <w:adjustRightInd w:val="0"/>
        <w:rPr>
          <w:rFonts w:ascii="TimesNewRoman" w:hAnsi="TimesNewRoman" w:cs="TimesNewRoman"/>
          <w:sz w:val="20"/>
          <w:szCs w:val="20"/>
        </w:rPr>
      </w:pPr>
    </w:p>
    <w:p w14:paraId="0190B38D" w14:textId="77777777"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Incorrect reference to code Section </w:t>
      </w:r>
      <w:r w:rsidRPr="00C9342E">
        <w:rPr>
          <w:rFonts w:ascii="TimesNewRoman" w:hAnsi="TimesNewRoman" w:cs="TimesNewRoman"/>
          <w:b/>
          <w:color w:val="FF0000"/>
          <w:sz w:val="20"/>
          <w:szCs w:val="20"/>
        </w:rPr>
        <w:t>C405.2.4</w:t>
      </w:r>
      <w:r>
        <w:rPr>
          <w:rFonts w:ascii="TimesNewRoman" w:hAnsi="TimesNewRoman" w:cs="TimesNewRoman"/>
          <w:sz w:val="20"/>
          <w:szCs w:val="20"/>
        </w:rPr>
        <w:t>.</w:t>
      </w:r>
    </w:p>
    <w:p w14:paraId="587EEB97" w14:textId="77777777" w:rsidR="00464149" w:rsidRDefault="00464149" w:rsidP="00F84BF9">
      <w:pPr>
        <w:adjustRightInd w:val="0"/>
        <w:rPr>
          <w:rFonts w:ascii="TimesNewRoman" w:hAnsi="TimesNewRoman" w:cs="TimesNewRoman"/>
          <w:sz w:val="20"/>
          <w:szCs w:val="20"/>
        </w:rPr>
      </w:pPr>
    </w:p>
    <w:p w14:paraId="7EAFE214" w14:textId="77777777" w:rsidR="00464149" w:rsidRDefault="00464149" w:rsidP="00464149">
      <w:pPr>
        <w:adjustRightInd w:val="0"/>
        <w:rPr>
          <w:bCs/>
          <w:sz w:val="20"/>
          <w:szCs w:val="20"/>
        </w:rPr>
      </w:pPr>
      <w:r w:rsidRPr="00783A77">
        <w:rPr>
          <w:sz w:val="20"/>
          <w:szCs w:val="20"/>
        </w:rPr>
        <w:t xml:space="preserve">This code </w:t>
      </w:r>
      <w:r w:rsidRPr="00ED6796">
        <w:rPr>
          <w:b/>
          <w:sz w:val="20"/>
          <w:szCs w:val="20"/>
        </w:rPr>
        <w:t>MUST</w:t>
      </w:r>
      <w:r>
        <w:rPr>
          <w:sz w:val="20"/>
          <w:szCs w:val="20"/>
        </w:rPr>
        <w:t xml:space="preserve"> </w:t>
      </w:r>
      <w:r w:rsidRPr="00783A77">
        <w:rPr>
          <w:sz w:val="20"/>
          <w:szCs w:val="20"/>
        </w:rPr>
        <w:t xml:space="preserve">reference </w:t>
      </w:r>
      <w:r w:rsidRPr="00D15EF1">
        <w:rPr>
          <w:sz w:val="20"/>
          <w:szCs w:val="20"/>
        </w:rPr>
        <w:t xml:space="preserve">Section </w:t>
      </w:r>
      <w:r w:rsidRPr="00D15EF1">
        <w:rPr>
          <w:b/>
          <w:bCs/>
          <w:color w:val="FF0000"/>
          <w:sz w:val="20"/>
          <w:szCs w:val="20"/>
        </w:rPr>
        <w:t>C405.2.5 Specific application controls</w:t>
      </w:r>
      <w:r w:rsidRPr="00783A77">
        <w:rPr>
          <w:bCs/>
          <w:color w:val="FF0000"/>
          <w:sz w:val="20"/>
          <w:szCs w:val="20"/>
        </w:rPr>
        <w:t xml:space="preserve">, </w:t>
      </w:r>
      <w:r w:rsidRPr="00ED6796">
        <w:rPr>
          <w:b/>
          <w:bCs/>
          <w:sz w:val="20"/>
          <w:szCs w:val="20"/>
        </w:rPr>
        <w:t>NOT</w:t>
      </w:r>
      <w:r>
        <w:rPr>
          <w:bCs/>
          <w:color w:val="FF0000"/>
          <w:sz w:val="20"/>
          <w:szCs w:val="20"/>
        </w:rPr>
        <w:t xml:space="preserve"> </w:t>
      </w:r>
      <w:r w:rsidRPr="00D15EF1">
        <w:rPr>
          <w:sz w:val="20"/>
          <w:szCs w:val="20"/>
        </w:rPr>
        <w:t xml:space="preserve">Section </w:t>
      </w:r>
      <w:r w:rsidRPr="00D15EF1">
        <w:rPr>
          <w:bCs/>
          <w:sz w:val="20"/>
          <w:szCs w:val="20"/>
        </w:rPr>
        <w:t>C405.2.4</w:t>
      </w:r>
      <w:r>
        <w:rPr>
          <w:bCs/>
          <w:sz w:val="20"/>
          <w:szCs w:val="20"/>
        </w:rPr>
        <w:t xml:space="preserve">, which </w:t>
      </w:r>
      <w:proofErr w:type="gramStart"/>
      <w:r>
        <w:rPr>
          <w:bCs/>
          <w:sz w:val="20"/>
          <w:szCs w:val="20"/>
        </w:rPr>
        <w:t xml:space="preserve">is </w:t>
      </w:r>
      <w:r w:rsidRPr="00D15EF1">
        <w:rPr>
          <w:bCs/>
          <w:sz w:val="20"/>
          <w:szCs w:val="20"/>
        </w:rPr>
        <w:t xml:space="preserve"> Daylight</w:t>
      </w:r>
      <w:proofErr w:type="gramEnd"/>
      <w:r w:rsidRPr="00D15EF1">
        <w:rPr>
          <w:bCs/>
          <w:sz w:val="20"/>
          <w:szCs w:val="20"/>
        </w:rPr>
        <w:t>-responsive controls</w:t>
      </w:r>
      <w:r>
        <w:rPr>
          <w:bCs/>
          <w:sz w:val="20"/>
          <w:szCs w:val="20"/>
        </w:rPr>
        <w:t>.</w:t>
      </w:r>
    </w:p>
    <w:p w14:paraId="3C5F68EF" w14:textId="77777777" w:rsidR="00464149" w:rsidRDefault="00464149" w:rsidP="00464149">
      <w:pPr>
        <w:adjustRightInd w:val="0"/>
        <w:rPr>
          <w:bCs/>
          <w:sz w:val="20"/>
          <w:szCs w:val="20"/>
        </w:rPr>
      </w:pPr>
    </w:p>
    <w:p w14:paraId="41D32D3E" w14:textId="67B48412" w:rsidR="00464149" w:rsidRDefault="00464149" w:rsidP="00F84BF9">
      <w:pPr>
        <w:adjustRightInd w:val="0"/>
        <w:rPr>
          <w:rFonts w:ascii="TimesNewRoman" w:hAnsi="TimesNewRoman" w:cs="TimesNewRoman"/>
          <w:sz w:val="20"/>
          <w:szCs w:val="20"/>
        </w:rPr>
      </w:pPr>
      <w:r>
        <w:rPr>
          <w:bCs/>
          <w:sz w:val="20"/>
          <w:szCs w:val="20"/>
        </w:rPr>
        <w:t xml:space="preserve">Replace Section </w:t>
      </w:r>
      <w:r w:rsidRPr="00ED6796">
        <w:rPr>
          <w:b/>
          <w:bCs/>
          <w:sz w:val="20"/>
          <w:szCs w:val="20"/>
        </w:rPr>
        <w:t>C405.2.</w:t>
      </w:r>
      <w:r>
        <w:rPr>
          <w:b/>
          <w:bCs/>
          <w:color w:val="FF0000"/>
          <w:sz w:val="20"/>
          <w:szCs w:val="20"/>
        </w:rPr>
        <w:t xml:space="preserve">4 </w:t>
      </w:r>
      <w:r>
        <w:rPr>
          <w:bCs/>
          <w:sz w:val="20"/>
          <w:szCs w:val="20"/>
        </w:rPr>
        <w:t xml:space="preserve">with </w:t>
      </w:r>
      <w:r w:rsidRPr="00ED6796">
        <w:rPr>
          <w:b/>
          <w:bCs/>
          <w:sz w:val="20"/>
          <w:szCs w:val="20"/>
        </w:rPr>
        <w:t>C405.2.</w:t>
      </w:r>
      <w:r w:rsidRPr="00287126">
        <w:rPr>
          <w:b/>
          <w:bCs/>
          <w:color w:val="FF0000"/>
          <w:sz w:val="20"/>
          <w:szCs w:val="20"/>
        </w:rPr>
        <w:t>5</w:t>
      </w:r>
      <w:r>
        <w:rPr>
          <w:bCs/>
          <w:sz w:val="20"/>
          <w:szCs w:val="20"/>
        </w:rPr>
        <w:t>.</w:t>
      </w:r>
    </w:p>
    <w:p w14:paraId="510E5075" w14:textId="77777777" w:rsidR="00F84BF9" w:rsidRDefault="00F84BF9" w:rsidP="00F84BF9">
      <w:pPr>
        <w:adjustRightInd w:val="0"/>
        <w:rPr>
          <w:bCs/>
          <w:sz w:val="20"/>
          <w:szCs w:val="20"/>
        </w:rPr>
      </w:pPr>
    </w:p>
    <w:p w14:paraId="20BF4205" w14:textId="77777777" w:rsidR="00F84BF9" w:rsidRPr="00F84BF9" w:rsidRDefault="00F84BF9" w:rsidP="00F84BF9">
      <w:pPr>
        <w:adjustRightInd w:val="0"/>
        <w:rPr>
          <w:b/>
          <w:bCs/>
          <w:color w:val="000000"/>
          <w:sz w:val="20"/>
          <w:szCs w:val="20"/>
        </w:rPr>
      </w:pPr>
      <w:r w:rsidRPr="00F84BF9">
        <w:rPr>
          <w:b/>
          <w:bCs/>
          <w:color w:val="000000"/>
          <w:sz w:val="20"/>
          <w:szCs w:val="20"/>
        </w:rPr>
        <w:t>Proposed fix:</w:t>
      </w:r>
    </w:p>
    <w:p w14:paraId="403BE8CA" w14:textId="77777777" w:rsidR="00F84BF9" w:rsidRDefault="00F84BF9" w:rsidP="00F84BF9">
      <w:pPr>
        <w:adjustRightInd w:val="0"/>
        <w:rPr>
          <w:bCs/>
          <w:sz w:val="20"/>
          <w:szCs w:val="20"/>
        </w:rPr>
      </w:pPr>
    </w:p>
    <w:p w14:paraId="3B71B039" w14:textId="71BBE7AB"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C405.3.2.2.1 Additional interior lighting power. </w:t>
      </w:r>
      <w:r>
        <w:rPr>
          <w:rFonts w:ascii="TimesNewRoman" w:eastAsiaTheme="minorHAnsi" w:hAnsi="TimesNewRoman" w:cs="TimesNewRoman"/>
          <w:sz w:val="20"/>
          <w:szCs w:val="20"/>
          <w14:ligatures w14:val="standardContextual"/>
        </w:rPr>
        <w:t>Where using the Space-by-Space Method, an</w:t>
      </w:r>
    </w:p>
    <w:p w14:paraId="06CD74BF" w14:textId="12062B90"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increase in the interior lighting power allowance is permitted for specific lighting functions. Additional</w:t>
      </w:r>
    </w:p>
    <w:p w14:paraId="2DB28990" w14:textId="5632CB64"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 xml:space="preserve">power shall be permitted only where the specified lighting is installed and controlled in </w:t>
      </w:r>
      <w:proofErr w:type="gramStart"/>
      <w:r>
        <w:rPr>
          <w:rFonts w:ascii="TimesNewRoman" w:eastAsiaTheme="minorHAnsi" w:hAnsi="TimesNewRoman" w:cs="TimesNewRoman"/>
          <w:sz w:val="20"/>
          <w:szCs w:val="20"/>
          <w14:ligatures w14:val="standardContextual"/>
        </w:rPr>
        <w:t>accordance</w:t>
      </w:r>
      <w:proofErr w:type="gramEnd"/>
    </w:p>
    <w:p w14:paraId="7669DCCF" w14:textId="133B96C9"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with Section C405.2.</w:t>
      </w:r>
      <w:r w:rsidRPr="00464149">
        <w:rPr>
          <w:rFonts w:ascii="TimesNewRoman" w:eastAsiaTheme="minorHAnsi" w:hAnsi="TimesNewRoman" w:cs="TimesNewRoman"/>
          <w:strike/>
          <w:sz w:val="20"/>
          <w:szCs w:val="20"/>
          <w14:ligatures w14:val="standardContextual"/>
        </w:rPr>
        <w:t>4</w:t>
      </w:r>
      <w:r>
        <w:rPr>
          <w:rFonts w:ascii="TimesNewRoman" w:eastAsiaTheme="minorHAnsi" w:hAnsi="TimesNewRoman" w:cs="TimesNewRoman"/>
          <w:sz w:val="20"/>
          <w:szCs w:val="20"/>
          <w:u w:val="single"/>
          <w14:ligatures w14:val="standardContextual"/>
        </w:rPr>
        <w:t>5</w:t>
      </w:r>
      <w:r>
        <w:rPr>
          <w:rFonts w:ascii="TimesNewRoman" w:eastAsiaTheme="minorHAnsi" w:hAnsi="TimesNewRoman" w:cs="TimesNewRoman"/>
          <w:sz w:val="20"/>
          <w:szCs w:val="20"/>
          <w14:ligatures w14:val="standardContextual"/>
        </w:rPr>
        <w:t xml:space="preserve">. This additional power shall be used only for the specified luminaires and </w:t>
      </w:r>
      <w:proofErr w:type="gramStart"/>
      <w:r>
        <w:rPr>
          <w:rFonts w:ascii="TimesNewRoman" w:eastAsiaTheme="minorHAnsi" w:hAnsi="TimesNewRoman" w:cs="TimesNewRoman"/>
          <w:sz w:val="20"/>
          <w:szCs w:val="20"/>
          <w14:ligatures w14:val="standardContextual"/>
        </w:rPr>
        <w:t>shall</w:t>
      </w:r>
      <w:proofErr w:type="gramEnd"/>
    </w:p>
    <w:p w14:paraId="44932E7F" w14:textId="7F170777"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not be used for any other purpose. An increase in the interior lighting power allowance is permitted in the</w:t>
      </w:r>
    </w:p>
    <w:p w14:paraId="188F69CA" w14:textId="55F1404A" w:rsidR="00F84BF9" w:rsidRPr="00783A77" w:rsidRDefault="00464149" w:rsidP="00464149">
      <w:pPr>
        <w:adjustRightInd w:val="0"/>
        <w:rPr>
          <w:bCs/>
          <w:sz w:val="20"/>
          <w:szCs w:val="20"/>
        </w:rPr>
      </w:pPr>
      <w:r>
        <w:rPr>
          <w:rFonts w:ascii="TimesNewRoman" w:eastAsiaTheme="minorHAnsi" w:hAnsi="TimesNewRoman" w:cs="TimesNewRoman"/>
          <w:sz w:val="20"/>
          <w:szCs w:val="20"/>
          <w14:ligatures w14:val="standardContextual"/>
        </w:rPr>
        <w:t xml:space="preserve">following </w:t>
      </w:r>
      <w:proofErr w:type="gramStart"/>
      <w:r>
        <w:rPr>
          <w:rFonts w:ascii="TimesNewRoman" w:eastAsiaTheme="minorHAnsi" w:hAnsi="TimesNewRoman" w:cs="TimesNewRoman"/>
          <w:sz w:val="20"/>
          <w:szCs w:val="20"/>
          <w14:ligatures w14:val="standardContextual"/>
        </w:rPr>
        <w:t>cases:…</w:t>
      </w:r>
      <w:proofErr w:type="gramEnd"/>
      <w:r>
        <w:rPr>
          <w:rFonts w:ascii="TimesNewRoman" w:eastAsiaTheme="minorHAnsi" w:hAnsi="TimesNewRoman" w:cs="TimesNewRoman"/>
          <w:sz w:val="20"/>
          <w:szCs w:val="20"/>
          <w14:ligatures w14:val="standardContextual"/>
        </w:rPr>
        <w:t>.</w:t>
      </w:r>
    </w:p>
    <w:p w14:paraId="5569DDDF" w14:textId="77777777" w:rsidR="00F84BF9" w:rsidRDefault="00F84BF9" w:rsidP="00B45751">
      <w:pPr>
        <w:widowControl/>
        <w:adjustRightInd w:val="0"/>
        <w:rPr>
          <w:rFonts w:ascii="Arial,Bold" w:eastAsiaTheme="minorHAnsi" w:hAnsi="Arial,Bold" w:cs="Arial,Bold"/>
          <w:b/>
          <w:bCs/>
          <w14:ligatures w14:val="standardContextual"/>
        </w:rPr>
      </w:pPr>
    </w:p>
    <w:p w14:paraId="32E93789" w14:textId="77777777" w:rsidR="00B6570A" w:rsidRPr="00DD108E" w:rsidRDefault="00B6570A" w:rsidP="00B6570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8045C16" w14:textId="77777777" w:rsidR="00B6570A" w:rsidRPr="00DD108E" w:rsidRDefault="00B6570A" w:rsidP="00B6570A">
      <w:pPr>
        <w:rPr>
          <w:rFonts w:ascii="TimesNewRoman" w:eastAsiaTheme="minorHAnsi" w:hAnsi="TimesNewRoman" w:cs="TimesNewRoman"/>
          <w:sz w:val="20"/>
          <w:szCs w:val="20"/>
          <w14:ligatures w14:val="standardContextual"/>
        </w:rPr>
      </w:pPr>
    </w:p>
    <w:p w14:paraId="1A4D7F40" w14:textId="77777777" w:rsidR="00B6570A" w:rsidRPr="00DD108E" w:rsidRDefault="00B6570A" w:rsidP="00B6570A">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1477FA76" w14:textId="77777777" w:rsidR="00B6570A" w:rsidRPr="00DD108E" w:rsidRDefault="00B6570A" w:rsidP="00B45751">
      <w:pPr>
        <w:widowControl/>
        <w:adjustRightInd w:val="0"/>
        <w:rPr>
          <w:rFonts w:ascii="Arial,Bold" w:eastAsiaTheme="minorHAnsi" w:hAnsi="Arial,Bold" w:cs="Arial,Bold"/>
          <w:b/>
          <w:bCs/>
          <w:sz w:val="20"/>
          <w:szCs w:val="20"/>
          <w14:ligatures w14:val="standardContextual"/>
        </w:rPr>
      </w:pPr>
    </w:p>
    <w:p w14:paraId="21B5A8B8" w14:textId="77777777" w:rsidR="00925CED" w:rsidRDefault="00925CED" w:rsidP="00925CED">
      <w:pPr>
        <w:rPr>
          <w:rFonts w:ascii="TimesNewRoman" w:eastAsiaTheme="minorHAnsi" w:hAnsi="TimesNewRoman" w:cs="TimesNewRoman"/>
          <w:b/>
          <w:bCs/>
          <w:color w:val="FF0000"/>
          <w:sz w:val="20"/>
          <w:szCs w:val="20"/>
          <w:u w:val="single"/>
        </w:rPr>
      </w:pPr>
      <w:bookmarkStart w:id="11" w:name="_Hlk153733187"/>
      <w:r>
        <w:rPr>
          <w:rFonts w:ascii="TimesNewRoman" w:eastAsiaTheme="minorHAnsi" w:hAnsi="TimesNewRoman" w:cs="TimesNewRoman"/>
          <w:b/>
          <w:bCs/>
          <w:color w:val="FF0000"/>
          <w:sz w:val="20"/>
          <w:szCs w:val="20"/>
          <w:u w:val="single"/>
        </w:rPr>
        <w:t xml:space="preserve">Comment – </w:t>
      </w:r>
    </w:p>
    <w:p w14:paraId="51165690" w14:textId="77777777" w:rsidR="00925CED" w:rsidRDefault="00925CED" w:rsidP="00925CED">
      <w:pPr>
        <w:rPr>
          <w:rFonts w:ascii="TimesNewRoman" w:eastAsiaTheme="minorHAnsi" w:hAnsi="TimesNewRoman" w:cs="TimesNewRoman"/>
          <w:b/>
          <w:bCs/>
          <w:color w:val="FF0000"/>
          <w:sz w:val="20"/>
          <w:szCs w:val="20"/>
          <w:u w:val="single"/>
        </w:rPr>
      </w:pPr>
    </w:p>
    <w:p w14:paraId="6103A33C" w14:textId="77777777" w:rsidR="00925CED" w:rsidRDefault="00925CED" w:rsidP="00925CED">
      <w:pPr>
        <w:rPr>
          <w:b/>
          <w:bCs/>
        </w:rPr>
      </w:pPr>
      <w:r>
        <w:rPr>
          <w:b/>
          <w:bCs/>
        </w:rPr>
        <w:t>BOAF Building Officials Association of Florida CDC Code Development Committee</w:t>
      </w:r>
    </w:p>
    <w:p w14:paraId="547EA68B" w14:textId="77777777" w:rsidR="00E72BFE" w:rsidRDefault="00E72BFE" w:rsidP="00B45751">
      <w:pPr>
        <w:widowControl/>
        <w:adjustRightInd w:val="0"/>
        <w:rPr>
          <w:rFonts w:ascii="Arial,Bold" w:eastAsiaTheme="minorHAnsi" w:hAnsi="Arial,Bold" w:cs="Arial,Bold"/>
          <w:b/>
          <w:bCs/>
          <w14:ligatures w14:val="standardContextual"/>
        </w:rPr>
      </w:pPr>
    </w:p>
    <w:bookmarkEnd w:id="11"/>
    <w:p w14:paraId="1F6353C7" w14:textId="77777777" w:rsidR="00925CED" w:rsidRDefault="00925CED" w:rsidP="00925CED">
      <w:pPr>
        <w:rPr>
          <w:b/>
          <w:bCs/>
        </w:rPr>
      </w:pPr>
      <w:r>
        <w:rPr>
          <w:b/>
          <w:bCs/>
        </w:rPr>
        <w:t>Proposal:</w:t>
      </w:r>
      <w:r>
        <w:rPr>
          <w:b/>
          <w:bCs/>
        </w:rPr>
        <w:tab/>
      </w:r>
      <w:r>
        <w:rPr>
          <w:b/>
          <w:bCs/>
        </w:rPr>
        <w:tab/>
        <w:t>change reference to section C405.2.4 toC405.2.5</w:t>
      </w:r>
    </w:p>
    <w:p w14:paraId="4091BBAE" w14:textId="77777777" w:rsidR="00925CED" w:rsidRDefault="00925CED" w:rsidP="00925CED">
      <w:pPr>
        <w:rPr>
          <w:b/>
          <w:bCs/>
        </w:rPr>
      </w:pPr>
      <w:r>
        <w:rPr>
          <w:b/>
          <w:bCs/>
        </w:rPr>
        <w:t>Comment:</w:t>
      </w:r>
      <w:r>
        <w:rPr>
          <w:b/>
          <w:bCs/>
        </w:rPr>
        <w:tab/>
      </w:r>
      <w:r>
        <w:rPr>
          <w:b/>
          <w:bCs/>
        </w:rPr>
        <w:tab/>
        <w:t>Errata not needed proposal is looking at 7</w:t>
      </w:r>
      <w:r w:rsidRPr="00481389">
        <w:rPr>
          <w:b/>
          <w:bCs/>
          <w:vertAlign w:val="superscript"/>
        </w:rPr>
        <w:t>th</w:t>
      </w:r>
      <w:r>
        <w:rPr>
          <w:b/>
          <w:bCs/>
        </w:rPr>
        <w:t xml:space="preserve"> Ed sections, 8</w:t>
      </w:r>
      <w:r w:rsidRPr="00481389">
        <w:rPr>
          <w:b/>
          <w:bCs/>
          <w:vertAlign w:val="superscript"/>
        </w:rPr>
        <w:t>th</w:t>
      </w:r>
      <w:r>
        <w:rPr>
          <w:b/>
          <w:bCs/>
        </w:rPr>
        <w:t xml:space="preserve"> edition sections were revised and now are C405.3.2 and are correct as is.</w:t>
      </w:r>
    </w:p>
    <w:p w14:paraId="31D9D981" w14:textId="77777777" w:rsidR="00925CED" w:rsidRDefault="00925CED" w:rsidP="00925CED">
      <w:r>
        <w:rPr>
          <w:b/>
          <w:bCs/>
        </w:rPr>
        <w:t>Approve/Oppose:</w:t>
      </w:r>
      <w:r>
        <w:rPr>
          <w:b/>
          <w:bCs/>
        </w:rPr>
        <w:tab/>
      </w:r>
      <w:r w:rsidRPr="00467F79">
        <w:rPr>
          <w:b/>
          <w:bCs/>
          <w:highlight w:val="yellow"/>
        </w:rPr>
        <w:t>Oppose</w:t>
      </w:r>
    </w:p>
    <w:p w14:paraId="292D4982" w14:textId="77777777" w:rsidR="00925CED" w:rsidRDefault="00925CED" w:rsidP="00B45751">
      <w:pPr>
        <w:widowControl/>
        <w:adjustRightInd w:val="0"/>
        <w:rPr>
          <w:rFonts w:ascii="Arial,Bold" w:eastAsiaTheme="minorHAnsi" w:hAnsi="Arial,Bold" w:cs="Arial,Bold"/>
          <w:b/>
          <w:bCs/>
          <w14:ligatures w14:val="standardContextual"/>
        </w:rPr>
      </w:pPr>
    </w:p>
    <w:p w14:paraId="0AE4745E" w14:textId="77777777" w:rsidR="00925CED" w:rsidRDefault="00925CED" w:rsidP="00B028A2">
      <w:pPr>
        <w:widowControl/>
        <w:adjustRightInd w:val="0"/>
        <w:rPr>
          <w:rFonts w:ascii="Arial,Bold" w:eastAsiaTheme="minorHAnsi" w:hAnsi="Arial,Bold" w:cs="Arial,Bold"/>
          <w:b/>
          <w:bCs/>
          <w:sz w:val="24"/>
          <w:szCs w:val="24"/>
          <w14:ligatures w14:val="standardContextual"/>
        </w:rPr>
      </w:pPr>
    </w:p>
    <w:p w14:paraId="30824741" w14:textId="77777777" w:rsidR="00925CED" w:rsidRDefault="00925CED" w:rsidP="00B028A2">
      <w:pPr>
        <w:widowControl/>
        <w:adjustRightInd w:val="0"/>
        <w:rPr>
          <w:rFonts w:ascii="Arial,Bold" w:eastAsiaTheme="minorHAnsi" w:hAnsi="Arial,Bold" w:cs="Arial,Bold"/>
          <w:b/>
          <w:bCs/>
          <w:sz w:val="24"/>
          <w:szCs w:val="24"/>
          <w14:ligatures w14:val="standardContextual"/>
        </w:rPr>
      </w:pPr>
    </w:p>
    <w:p w14:paraId="6AF6F950" w14:textId="7950EC33" w:rsidR="000C5810" w:rsidRDefault="00B028A2" w:rsidP="00B028A2">
      <w:pPr>
        <w:widowControl/>
        <w:adjustRightInd w:val="0"/>
        <w:rPr>
          <w:rFonts w:ascii="Arial,Bold" w:eastAsiaTheme="minorHAnsi" w:hAnsi="Arial,Bold" w:cs="Arial,Bold"/>
          <w:b/>
          <w:bCs/>
          <w:sz w:val="24"/>
          <w:szCs w:val="24"/>
          <w14:ligatures w14:val="standardContextual"/>
        </w:rPr>
      </w:pPr>
      <w:r w:rsidRPr="00B028A2">
        <w:rPr>
          <w:rFonts w:ascii="Arial,Bold" w:eastAsiaTheme="minorHAnsi" w:hAnsi="Arial,Bold" w:cs="Arial,Bold"/>
          <w:b/>
          <w:bCs/>
          <w:sz w:val="24"/>
          <w:szCs w:val="24"/>
          <w14:ligatures w14:val="standardContextual"/>
        </w:rPr>
        <w:t>CHAPTER 4 [RE] RESIDENTIAL ENERGY EFFICIENCY</w:t>
      </w:r>
    </w:p>
    <w:p w14:paraId="75F6D334" w14:textId="77777777" w:rsidR="00B028A2" w:rsidRPr="00B028A2" w:rsidRDefault="00B028A2" w:rsidP="00B028A2">
      <w:pPr>
        <w:widowControl/>
        <w:adjustRightInd w:val="0"/>
        <w:rPr>
          <w:rFonts w:ascii="Arial,Bold" w:eastAsiaTheme="minorHAnsi" w:hAnsi="Arial,Bold" w:cs="Arial,Bold"/>
          <w:b/>
          <w:bCs/>
          <w:sz w:val="24"/>
          <w:szCs w:val="24"/>
          <w14:ligatures w14:val="standardContextual"/>
        </w:rPr>
      </w:pPr>
    </w:p>
    <w:p w14:paraId="37059B5E" w14:textId="774E80BD" w:rsidR="00B028A2" w:rsidRDefault="00B028A2" w:rsidP="00B028A2">
      <w:pPr>
        <w:rPr>
          <w:color w:val="FF0000"/>
        </w:rPr>
      </w:pPr>
      <w:r w:rsidRPr="004F30F5">
        <w:rPr>
          <w:color w:val="FF0000"/>
        </w:rPr>
        <w:t>EN-FBC-EC/R</w:t>
      </w:r>
      <w:r w:rsidR="00F265FD">
        <w:rPr>
          <w:color w:val="FF0000"/>
        </w:rPr>
        <w:t>- Ch. 4</w:t>
      </w:r>
      <w:r w:rsidRPr="004F30F5">
        <w:rPr>
          <w:color w:val="FF0000"/>
        </w:rPr>
        <w:t xml:space="preserve"> – </w:t>
      </w:r>
      <w:r w:rsidR="00F265FD">
        <w:rPr>
          <w:color w:val="FF0000"/>
        </w:rPr>
        <w:t>Glitch #1</w:t>
      </w:r>
    </w:p>
    <w:p w14:paraId="57CFE439" w14:textId="77777777" w:rsidR="00B028A2" w:rsidRDefault="00B028A2" w:rsidP="00B45751">
      <w:pPr>
        <w:widowControl/>
        <w:adjustRightInd w:val="0"/>
        <w:rPr>
          <w:rFonts w:ascii="Arial,Bold" w:eastAsiaTheme="minorHAnsi" w:hAnsi="Arial,Bold" w:cs="Arial,Bold"/>
          <w:b/>
          <w:bCs/>
          <w14:ligatures w14:val="standardContextual"/>
        </w:rPr>
      </w:pPr>
    </w:p>
    <w:p w14:paraId="2FD255E8" w14:textId="6087152C" w:rsidR="00B028A2" w:rsidRDefault="00B028A2" w:rsidP="00B028A2">
      <w:pPr>
        <w:outlineLvl w:val="0"/>
        <w:rPr>
          <w:color w:val="000000"/>
          <w:kern w:val="36"/>
          <w:sz w:val="24"/>
          <w:szCs w:val="24"/>
        </w:rPr>
      </w:pPr>
      <w:r>
        <w:rPr>
          <w:color w:val="000000"/>
          <w:sz w:val="24"/>
          <w:szCs w:val="24"/>
        </w:rPr>
        <w:t>James (Jim) Bailey – Baileys &amp; McDaniel</w:t>
      </w:r>
    </w:p>
    <w:p w14:paraId="457D51B9" w14:textId="77777777" w:rsidR="00B028A2" w:rsidRDefault="00B028A2" w:rsidP="00B028A2">
      <w:pPr>
        <w:outlineLvl w:val="0"/>
        <w:rPr>
          <w:color w:val="000000"/>
          <w:kern w:val="36"/>
          <w:sz w:val="24"/>
          <w:szCs w:val="24"/>
        </w:rPr>
      </w:pPr>
    </w:p>
    <w:p w14:paraId="45C31AFF" w14:textId="02D13B08" w:rsidR="00B028A2" w:rsidRDefault="00B028A2" w:rsidP="00B028A2">
      <w:pPr>
        <w:outlineLvl w:val="0"/>
        <w:rPr>
          <w:color w:val="000000"/>
          <w:sz w:val="24"/>
          <w:szCs w:val="24"/>
        </w:rPr>
      </w:pPr>
      <w:r>
        <w:rPr>
          <w:color w:val="000000"/>
          <w:kern w:val="36"/>
          <w:sz w:val="24"/>
          <w:szCs w:val="24"/>
        </w:rPr>
        <w:t>Hello,</w:t>
      </w:r>
    </w:p>
    <w:p w14:paraId="68EF8C70" w14:textId="77777777" w:rsidR="00B028A2" w:rsidRDefault="00B028A2" w:rsidP="00B028A2">
      <w:pPr>
        <w:outlineLvl w:val="0"/>
        <w:rPr>
          <w:color w:val="000000"/>
          <w:sz w:val="24"/>
          <w:szCs w:val="24"/>
        </w:rPr>
      </w:pPr>
      <w:r>
        <w:rPr>
          <w:color w:val="000000"/>
          <w:sz w:val="24"/>
          <w:szCs w:val="24"/>
        </w:rPr>
        <w:t> </w:t>
      </w:r>
    </w:p>
    <w:p w14:paraId="48EBA2CB" w14:textId="77777777" w:rsidR="00B028A2" w:rsidRDefault="00B028A2" w:rsidP="00B028A2">
      <w:pPr>
        <w:outlineLvl w:val="0"/>
        <w:rPr>
          <w:color w:val="000000"/>
          <w:sz w:val="24"/>
          <w:szCs w:val="24"/>
        </w:rPr>
      </w:pPr>
      <w:r>
        <w:rPr>
          <w:color w:val="000000"/>
          <w:kern w:val="36"/>
          <w:sz w:val="24"/>
          <w:szCs w:val="24"/>
        </w:rPr>
        <w:t>October 27, 2023</w:t>
      </w:r>
    </w:p>
    <w:p w14:paraId="12D11420" w14:textId="77777777" w:rsidR="00B028A2" w:rsidRDefault="00B028A2" w:rsidP="00B028A2">
      <w:pPr>
        <w:outlineLvl w:val="0"/>
        <w:rPr>
          <w:color w:val="000000"/>
          <w:sz w:val="24"/>
          <w:szCs w:val="24"/>
        </w:rPr>
      </w:pPr>
      <w:r>
        <w:rPr>
          <w:color w:val="000000"/>
          <w:sz w:val="24"/>
          <w:szCs w:val="24"/>
        </w:rPr>
        <w:t> </w:t>
      </w:r>
    </w:p>
    <w:p w14:paraId="79FDC2F3" w14:textId="77777777" w:rsidR="00B028A2" w:rsidRDefault="00B028A2" w:rsidP="00B028A2">
      <w:pPr>
        <w:outlineLvl w:val="0"/>
        <w:rPr>
          <w:color w:val="000000"/>
          <w:sz w:val="24"/>
          <w:szCs w:val="24"/>
        </w:rPr>
      </w:pPr>
      <w:r>
        <w:rPr>
          <w:color w:val="000000"/>
          <w:kern w:val="36"/>
          <w:sz w:val="24"/>
          <w:szCs w:val="24"/>
        </w:rPr>
        <w:t>RE: 8th Edition (2023) Florida Building Code</w:t>
      </w:r>
    </w:p>
    <w:p w14:paraId="172CCE61" w14:textId="77777777" w:rsidR="00B028A2" w:rsidRDefault="00B028A2" w:rsidP="00B028A2">
      <w:pPr>
        <w:outlineLvl w:val="0"/>
        <w:rPr>
          <w:color w:val="000000"/>
          <w:sz w:val="24"/>
          <w:szCs w:val="24"/>
        </w:rPr>
      </w:pPr>
      <w:r>
        <w:rPr>
          <w:color w:val="000000"/>
          <w:kern w:val="36"/>
          <w:sz w:val="24"/>
          <w:szCs w:val="24"/>
        </w:rPr>
        <w:t>Glitch/Errata Code Change Cycle for the 2023 update to the Florida Building Code</w:t>
      </w:r>
    </w:p>
    <w:p w14:paraId="2CF61A82" w14:textId="77777777" w:rsidR="00B028A2" w:rsidRDefault="00B028A2" w:rsidP="00B028A2">
      <w:pPr>
        <w:outlineLvl w:val="0"/>
        <w:rPr>
          <w:color w:val="000000"/>
          <w:sz w:val="24"/>
          <w:szCs w:val="24"/>
        </w:rPr>
      </w:pPr>
      <w:r>
        <w:rPr>
          <w:color w:val="000000"/>
          <w:sz w:val="24"/>
          <w:szCs w:val="24"/>
        </w:rPr>
        <w:t> </w:t>
      </w:r>
    </w:p>
    <w:p w14:paraId="7863BAB3" w14:textId="77777777" w:rsidR="00B028A2" w:rsidRDefault="00B028A2" w:rsidP="00B028A2">
      <w:pPr>
        <w:outlineLvl w:val="0"/>
        <w:rPr>
          <w:color w:val="000000"/>
          <w:sz w:val="24"/>
          <w:szCs w:val="24"/>
        </w:rPr>
      </w:pPr>
      <w:r>
        <w:rPr>
          <w:color w:val="000000"/>
          <w:kern w:val="36"/>
          <w:sz w:val="24"/>
          <w:szCs w:val="24"/>
        </w:rPr>
        <w:t xml:space="preserve">I am wishing to bring to your attention for consideration a clarification </w:t>
      </w:r>
      <w:proofErr w:type="gramStart"/>
      <w:r>
        <w:rPr>
          <w:color w:val="000000"/>
          <w:kern w:val="36"/>
          <w:sz w:val="24"/>
          <w:szCs w:val="24"/>
        </w:rPr>
        <w:t>change</w:t>
      </w:r>
      <w:proofErr w:type="gramEnd"/>
      <w:r>
        <w:rPr>
          <w:color w:val="000000"/>
          <w:kern w:val="36"/>
          <w:sz w:val="24"/>
          <w:szCs w:val="24"/>
        </w:rPr>
        <w:t xml:space="preserve"> in our 2023 Code as in our opinion falls within the glitch change criteria: a conflict within the updated code, and inconsistency with state law, between the Florida Mechanical &amp; Florida Energy code. </w:t>
      </w:r>
    </w:p>
    <w:p w14:paraId="24FE5E30" w14:textId="77777777" w:rsidR="00B028A2" w:rsidRDefault="00B028A2" w:rsidP="00B028A2">
      <w:pPr>
        <w:outlineLvl w:val="0"/>
        <w:rPr>
          <w:color w:val="000000"/>
          <w:sz w:val="24"/>
          <w:szCs w:val="24"/>
        </w:rPr>
      </w:pPr>
      <w:r>
        <w:rPr>
          <w:color w:val="000000"/>
          <w:sz w:val="24"/>
          <w:szCs w:val="24"/>
        </w:rPr>
        <w:t> </w:t>
      </w:r>
    </w:p>
    <w:p w14:paraId="4D702656" w14:textId="77777777" w:rsidR="00B028A2" w:rsidRDefault="00B028A2" w:rsidP="00B028A2">
      <w:pPr>
        <w:outlineLvl w:val="0"/>
        <w:rPr>
          <w:color w:val="000000"/>
          <w:sz w:val="24"/>
          <w:szCs w:val="24"/>
        </w:rPr>
      </w:pPr>
      <w:r>
        <w:rPr>
          <w:color w:val="000000"/>
          <w:kern w:val="36"/>
          <w:sz w:val="24"/>
          <w:szCs w:val="24"/>
        </w:rPr>
        <w:t xml:space="preserve">The proposed glitch change will better address the needs of the people of Florida by removing an unintended negative energy consequence caused by a prescribed Energy code restriction as it relates to air handler access. The people of Florida’s intent for a Florida Energy code </w:t>
      </w:r>
      <w:proofErr w:type="gramStart"/>
      <w:r>
        <w:rPr>
          <w:color w:val="000000"/>
          <w:kern w:val="36"/>
          <w:sz w:val="24"/>
          <w:szCs w:val="24"/>
        </w:rPr>
        <w:t>is</w:t>
      </w:r>
      <w:proofErr w:type="gramEnd"/>
      <w:r>
        <w:rPr>
          <w:color w:val="000000"/>
          <w:kern w:val="36"/>
          <w:sz w:val="24"/>
          <w:szCs w:val="24"/>
        </w:rPr>
        <w:t xml:space="preserve"> for the code to make dwellings more energy efficient for Florida as it pertains to subjects of energy efficiency. If a restriction within the Energy code does not in itself make for a more energy efficiency </w:t>
      </w:r>
      <w:proofErr w:type="gramStart"/>
      <w:r>
        <w:rPr>
          <w:color w:val="000000"/>
          <w:kern w:val="36"/>
          <w:sz w:val="24"/>
          <w:szCs w:val="24"/>
        </w:rPr>
        <w:t>scenario</w:t>
      </w:r>
      <w:proofErr w:type="gramEnd"/>
      <w:r>
        <w:rPr>
          <w:color w:val="000000"/>
          <w:kern w:val="36"/>
          <w:sz w:val="24"/>
          <w:szCs w:val="24"/>
        </w:rPr>
        <w:t xml:space="preserve"> then it is better addressed outside the Energy code for practical &amp; safety reasons. In the case of air handler location, this is better addressed in the Mechanical code.</w:t>
      </w:r>
    </w:p>
    <w:p w14:paraId="627B9558" w14:textId="77777777" w:rsidR="00B028A2" w:rsidRDefault="00B028A2" w:rsidP="00B028A2">
      <w:pPr>
        <w:outlineLvl w:val="0"/>
        <w:rPr>
          <w:color w:val="000000"/>
          <w:sz w:val="24"/>
          <w:szCs w:val="24"/>
        </w:rPr>
      </w:pPr>
      <w:r>
        <w:rPr>
          <w:color w:val="000000"/>
          <w:sz w:val="24"/>
          <w:szCs w:val="24"/>
        </w:rPr>
        <w:t> </w:t>
      </w:r>
    </w:p>
    <w:p w14:paraId="3A1D4495" w14:textId="77777777" w:rsidR="00B028A2" w:rsidRDefault="00B028A2" w:rsidP="00B028A2">
      <w:pPr>
        <w:outlineLvl w:val="0"/>
        <w:rPr>
          <w:color w:val="000000"/>
          <w:sz w:val="24"/>
          <w:szCs w:val="24"/>
        </w:rPr>
      </w:pPr>
      <w:r>
        <w:rPr>
          <w:color w:val="000000"/>
          <w:kern w:val="36"/>
          <w:sz w:val="24"/>
          <w:szCs w:val="24"/>
        </w:rPr>
        <w:lastRenderedPageBreak/>
        <w:t>The impact on small business as it relates to this proposed glitch change is positive as it will improve upon supply change constraints which we have all seen in recent times by not requiring unnecessary amounts of product which will only cost consumers more to buy then going forward cause higher energy usage within the consumer home. These savings will only go back into the economy perpetually to be spent in more productive ways and in turn bettering small business.</w:t>
      </w:r>
    </w:p>
    <w:p w14:paraId="0FDCEC63" w14:textId="77777777" w:rsidR="00B028A2" w:rsidRDefault="00B028A2" w:rsidP="00B028A2">
      <w:pPr>
        <w:outlineLvl w:val="0"/>
        <w:rPr>
          <w:color w:val="000000"/>
          <w:sz w:val="24"/>
          <w:szCs w:val="24"/>
        </w:rPr>
      </w:pPr>
      <w:r>
        <w:rPr>
          <w:color w:val="000000"/>
          <w:sz w:val="24"/>
          <w:szCs w:val="24"/>
        </w:rPr>
        <w:t> </w:t>
      </w:r>
    </w:p>
    <w:p w14:paraId="296546CA" w14:textId="77777777" w:rsidR="00B028A2" w:rsidRDefault="00B028A2" w:rsidP="00B028A2">
      <w:pPr>
        <w:outlineLvl w:val="0"/>
        <w:rPr>
          <w:color w:val="000000"/>
          <w:sz w:val="24"/>
          <w:szCs w:val="24"/>
        </w:rPr>
      </w:pPr>
      <w:r>
        <w:rPr>
          <w:color w:val="000000"/>
          <w:kern w:val="36"/>
          <w:sz w:val="24"/>
          <w:szCs w:val="24"/>
        </w:rPr>
        <w:t xml:space="preserve">The proposed glitch change has a reasonable connection on the health, safety, and welfare of the </w:t>
      </w:r>
      <w:proofErr w:type="gramStart"/>
      <w:r>
        <w:rPr>
          <w:color w:val="000000"/>
          <w:kern w:val="36"/>
          <w:sz w:val="24"/>
          <w:szCs w:val="24"/>
        </w:rPr>
        <w:t>general public</w:t>
      </w:r>
      <w:proofErr w:type="gramEnd"/>
      <w:r>
        <w:rPr>
          <w:color w:val="000000"/>
          <w:kern w:val="36"/>
          <w:sz w:val="24"/>
          <w:szCs w:val="24"/>
        </w:rPr>
        <w:t xml:space="preserve">. There are no negatives for the </w:t>
      </w:r>
      <w:proofErr w:type="gramStart"/>
      <w:r>
        <w:rPr>
          <w:color w:val="000000"/>
          <w:kern w:val="36"/>
          <w:sz w:val="24"/>
          <w:szCs w:val="24"/>
        </w:rPr>
        <w:t>general public</w:t>
      </w:r>
      <w:proofErr w:type="gramEnd"/>
      <w:r>
        <w:rPr>
          <w:color w:val="000000"/>
          <w:kern w:val="36"/>
          <w:sz w:val="24"/>
          <w:szCs w:val="24"/>
        </w:rPr>
        <w:t xml:space="preserve"> as it relates to this proposed glitch change. In </w:t>
      </w:r>
      <w:proofErr w:type="gramStart"/>
      <w:r>
        <w:rPr>
          <w:color w:val="000000"/>
          <w:kern w:val="36"/>
          <w:sz w:val="24"/>
          <w:szCs w:val="24"/>
        </w:rPr>
        <w:t>fact</w:t>
      </w:r>
      <w:proofErr w:type="gramEnd"/>
      <w:r>
        <w:rPr>
          <w:color w:val="000000"/>
          <w:kern w:val="36"/>
          <w:sz w:val="24"/>
          <w:szCs w:val="24"/>
        </w:rPr>
        <w:t xml:space="preserve"> allowing the Mechanical code, which its principle basis is built on safety, to prevail over this subject will only help to insure the overall safety of Florida’s dwellings.</w:t>
      </w:r>
    </w:p>
    <w:p w14:paraId="2D598F65" w14:textId="77777777" w:rsidR="00B028A2" w:rsidRDefault="00B028A2" w:rsidP="00B028A2">
      <w:pPr>
        <w:outlineLvl w:val="0"/>
        <w:rPr>
          <w:color w:val="000000"/>
          <w:sz w:val="24"/>
          <w:szCs w:val="24"/>
        </w:rPr>
      </w:pPr>
      <w:r>
        <w:rPr>
          <w:color w:val="000000"/>
          <w:sz w:val="24"/>
          <w:szCs w:val="24"/>
        </w:rPr>
        <w:t> </w:t>
      </w:r>
    </w:p>
    <w:p w14:paraId="5FDEF1A0" w14:textId="77777777" w:rsidR="00B028A2" w:rsidRDefault="00B028A2" w:rsidP="00B028A2">
      <w:pPr>
        <w:outlineLvl w:val="0"/>
        <w:rPr>
          <w:color w:val="000000"/>
          <w:sz w:val="24"/>
          <w:szCs w:val="24"/>
        </w:rPr>
      </w:pPr>
      <w:r>
        <w:rPr>
          <w:color w:val="000000"/>
          <w:kern w:val="36"/>
          <w:sz w:val="24"/>
          <w:szCs w:val="24"/>
        </w:rPr>
        <w:t>The proposed glitch change will only strengthen the Florida Building code by removing the unintended counterproductive consequence of a restriction within the Energy code and allowing the Mechanical code to prevail over a subject better addressed by the Mechanical code.</w:t>
      </w:r>
    </w:p>
    <w:p w14:paraId="06E88276" w14:textId="77777777" w:rsidR="00B028A2" w:rsidRDefault="00B028A2" w:rsidP="00B028A2">
      <w:pPr>
        <w:outlineLvl w:val="0"/>
        <w:rPr>
          <w:color w:val="000000"/>
          <w:sz w:val="24"/>
          <w:szCs w:val="24"/>
        </w:rPr>
      </w:pPr>
      <w:r>
        <w:rPr>
          <w:color w:val="000000"/>
          <w:sz w:val="24"/>
          <w:szCs w:val="24"/>
        </w:rPr>
        <w:t> </w:t>
      </w:r>
    </w:p>
    <w:p w14:paraId="20E19B99" w14:textId="77777777" w:rsidR="00B028A2" w:rsidRDefault="00B028A2" w:rsidP="00B028A2">
      <w:pPr>
        <w:outlineLvl w:val="0"/>
        <w:rPr>
          <w:color w:val="000000"/>
          <w:sz w:val="24"/>
          <w:szCs w:val="24"/>
        </w:rPr>
      </w:pPr>
      <w:r>
        <w:rPr>
          <w:color w:val="000000"/>
          <w:kern w:val="36"/>
          <w:sz w:val="24"/>
          <w:szCs w:val="24"/>
        </w:rPr>
        <w:t xml:space="preserve">The proposed glitch change does not discriminate against any materials, products, methods, or systems of construction of demonstrated capabilities... The intent is simply to minimize the amount of heat conductive surface area located in Florida attics and allow </w:t>
      </w:r>
      <w:proofErr w:type="spellStart"/>
      <w:r>
        <w:rPr>
          <w:color w:val="000000"/>
          <w:kern w:val="36"/>
          <w:sz w:val="24"/>
          <w:szCs w:val="24"/>
        </w:rPr>
        <w:t>hvac</w:t>
      </w:r>
      <w:proofErr w:type="spellEnd"/>
      <w:r>
        <w:rPr>
          <w:color w:val="000000"/>
          <w:kern w:val="36"/>
          <w:sz w:val="24"/>
          <w:szCs w:val="24"/>
        </w:rPr>
        <w:t xml:space="preserve"> systems in Florida dwellings to operate more effectively.</w:t>
      </w:r>
    </w:p>
    <w:p w14:paraId="0A1AEEF0" w14:textId="77777777" w:rsidR="00B028A2" w:rsidRDefault="00B028A2" w:rsidP="00B028A2">
      <w:pPr>
        <w:outlineLvl w:val="0"/>
        <w:rPr>
          <w:color w:val="000000"/>
          <w:sz w:val="24"/>
          <w:szCs w:val="24"/>
        </w:rPr>
      </w:pPr>
      <w:r>
        <w:rPr>
          <w:color w:val="000000"/>
          <w:sz w:val="24"/>
          <w:szCs w:val="24"/>
        </w:rPr>
        <w:t> </w:t>
      </w:r>
    </w:p>
    <w:p w14:paraId="464D2310" w14:textId="77777777" w:rsidR="00B028A2" w:rsidRDefault="00B028A2" w:rsidP="00B028A2">
      <w:pPr>
        <w:outlineLvl w:val="0"/>
        <w:rPr>
          <w:color w:val="000000"/>
          <w:sz w:val="24"/>
          <w:szCs w:val="24"/>
        </w:rPr>
      </w:pPr>
      <w:r>
        <w:rPr>
          <w:color w:val="000000"/>
          <w:kern w:val="36"/>
          <w:sz w:val="24"/>
          <w:szCs w:val="24"/>
        </w:rPr>
        <w:t>The proposed glitch change does not degrade the effectiveness of the Florida Building code. The proposed glitch change clarifies and simply allows the Mechanical code to prevail as it pertains to a subject better addressed by the Mechanical code.</w:t>
      </w:r>
    </w:p>
    <w:p w14:paraId="1846E74B" w14:textId="77777777" w:rsidR="00B028A2" w:rsidRDefault="00B028A2" w:rsidP="00B028A2">
      <w:pPr>
        <w:outlineLvl w:val="0"/>
        <w:rPr>
          <w:color w:val="000000"/>
          <w:sz w:val="24"/>
          <w:szCs w:val="24"/>
        </w:rPr>
      </w:pPr>
      <w:r>
        <w:rPr>
          <w:color w:val="000000"/>
          <w:sz w:val="24"/>
          <w:szCs w:val="24"/>
        </w:rPr>
        <w:t> </w:t>
      </w:r>
    </w:p>
    <w:p w14:paraId="7323F0D9" w14:textId="77777777" w:rsidR="00B028A2" w:rsidRDefault="00B028A2" w:rsidP="00B028A2">
      <w:pPr>
        <w:outlineLvl w:val="0"/>
        <w:rPr>
          <w:color w:val="000000"/>
          <w:sz w:val="24"/>
          <w:szCs w:val="24"/>
        </w:rPr>
      </w:pPr>
      <w:r>
        <w:rPr>
          <w:color w:val="000000"/>
          <w:kern w:val="36"/>
          <w:sz w:val="24"/>
          <w:szCs w:val="24"/>
        </w:rPr>
        <w:t>Our suggestion is, for the Florida Energy code the language concerning air handler location in attics, to fully allow the Florida Mechanical code to prevail with respect to an appliances distance from the attic access including air handler.</w:t>
      </w:r>
    </w:p>
    <w:p w14:paraId="44DBB569" w14:textId="77777777" w:rsidR="00B028A2" w:rsidRDefault="00B028A2" w:rsidP="00B028A2">
      <w:pPr>
        <w:outlineLvl w:val="0"/>
        <w:rPr>
          <w:color w:val="000000"/>
          <w:sz w:val="24"/>
          <w:szCs w:val="24"/>
        </w:rPr>
      </w:pPr>
      <w:r>
        <w:rPr>
          <w:color w:val="000000"/>
          <w:kern w:val="36"/>
          <w:sz w:val="24"/>
          <w:szCs w:val="24"/>
        </w:rPr>
        <w:t xml:space="preserve">Below are two excerpts from sections of the Mechanical code and the Energy Code which sometimes can lead to inconsistent interpretations across Florida. When residential dwellings are designed with an air handler to be located in </w:t>
      </w:r>
      <w:proofErr w:type="spellStart"/>
      <w:proofErr w:type="gramStart"/>
      <w:r>
        <w:rPr>
          <w:color w:val="000000"/>
          <w:kern w:val="36"/>
          <w:sz w:val="24"/>
          <w:szCs w:val="24"/>
        </w:rPr>
        <w:t>a</w:t>
      </w:r>
      <w:proofErr w:type="spellEnd"/>
      <w:proofErr w:type="gramEnd"/>
      <w:r>
        <w:rPr>
          <w:color w:val="000000"/>
          <w:kern w:val="36"/>
          <w:sz w:val="24"/>
          <w:szCs w:val="24"/>
        </w:rPr>
        <w:t xml:space="preserve"> attic location, the written Mechanical code will allow for the best placement of an air handling unit for better centralized system design, performance, and energy efficiency. </w:t>
      </w:r>
    </w:p>
    <w:p w14:paraId="3BCB4B4C" w14:textId="77777777" w:rsidR="00B028A2" w:rsidRDefault="00B028A2" w:rsidP="00B028A2">
      <w:pPr>
        <w:outlineLvl w:val="0"/>
        <w:rPr>
          <w:color w:val="000000"/>
          <w:sz w:val="24"/>
          <w:szCs w:val="24"/>
        </w:rPr>
      </w:pPr>
      <w:r>
        <w:rPr>
          <w:color w:val="000000"/>
          <w:sz w:val="24"/>
          <w:szCs w:val="24"/>
        </w:rPr>
        <w:t> </w:t>
      </w:r>
    </w:p>
    <w:p w14:paraId="01146766"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Mechanical Code</w:t>
      </w:r>
    </w:p>
    <w:p w14:paraId="170BA172" w14:textId="77777777" w:rsidR="00F265FD" w:rsidRDefault="00F265FD" w:rsidP="00B028A2">
      <w:pPr>
        <w:outlineLvl w:val="0"/>
        <w:rPr>
          <w:color w:val="000000"/>
          <w:sz w:val="24"/>
          <w:szCs w:val="24"/>
        </w:rPr>
      </w:pPr>
    </w:p>
    <w:p w14:paraId="06CF5DCB" w14:textId="77777777" w:rsidR="00B028A2" w:rsidRDefault="00B028A2" w:rsidP="00B028A2">
      <w:pPr>
        <w:outlineLvl w:val="0"/>
        <w:rPr>
          <w:color w:val="000000"/>
          <w:sz w:val="24"/>
          <w:szCs w:val="24"/>
        </w:rPr>
      </w:pPr>
      <w:r>
        <w:rPr>
          <w:rFonts w:ascii="Arial" w:hAnsi="Arial" w:cs="Arial"/>
          <w:b/>
          <w:bCs/>
          <w:color w:val="000000"/>
          <w:kern w:val="36"/>
          <w:sz w:val="14"/>
          <w:szCs w:val="14"/>
        </w:rPr>
        <w:t>306.3Appliances in attics.</w:t>
      </w:r>
    </w:p>
    <w:p w14:paraId="5C4DEEE4" w14:textId="77777777" w:rsidR="00B028A2" w:rsidRDefault="00B028A2" w:rsidP="00B028A2">
      <w:pPr>
        <w:rPr>
          <w:color w:val="000000"/>
          <w:sz w:val="24"/>
          <w:szCs w:val="24"/>
        </w:rPr>
      </w:pPr>
      <w:r>
        <w:rPr>
          <w:rFonts w:ascii="Arial" w:hAnsi="Arial" w:cs="Arial"/>
          <w:color w:val="000000"/>
          <w:sz w:val="16"/>
          <w:szCs w:val="16"/>
        </w:rPr>
        <w:t xml:space="preserve">Attics containing </w:t>
      </w:r>
      <w:r>
        <w:rPr>
          <w:rFonts w:ascii="Arial" w:hAnsi="Arial" w:cs="Arial"/>
          <w:i/>
          <w:iCs/>
          <w:color w:val="000000"/>
          <w:sz w:val="16"/>
          <w:szCs w:val="16"/>
        </w:rPr>
        <w:t>appliances</w:t>
      </w:r>
      <w:r>
        <w:rPr>
          <w:rFonts w:ascii="Arial" w:hAnsi="Arial" w:cs="Arial"/>
          <w:color w:val="000000"/>
          <w:sz w:val="16"/>
          <w:szCs w:val="16"/>
        </w:rPr>
        <w:t xml:space="preserve"> shall be provided with an opening and unobstructed passageway large enough to allow removal of the largest </w:t>
      </w:r>
      <w:r>
        <w:rPr>
          <w:rFonts w:ascii="Arial" w:hAnsi="Arial" w:cs="Arial"/>
          <w:i/>
          <w:iCs/>
          <w:color w:val="000000"/>
          <w:sz w:val="16"/>
          <w:szCs w:val="16"/>
        </w:rPr>
        <w:t>appliance</w:t>
      </w:r>
      <w:r>
        <w:rPr>
          <w:rFonts w:ascii="Arial" w:hAnsi="Arial" w:cs="Arial"/>
          <w:color w:val="000000"/>
          <w:sz w:val="16"/>
          <w:szCs w:val="16"/>
        </w:rPr>
        <w:t xml:space="preserve">. </w:t>
      </w:r>
      <w:r>
        <w:rPr>
          <w:rFonts w:ascii="Arial" w:hAnsi="Arial" w:cs="Arial"/>
          <w:color w:val="000000"/>
          <w:sz w:val="16"/>
          <w:szCs w:val="16"/>
          <w:shd w:val="clear" w:color="auto" w:fill="FFFF00"/>
        </w:rPr>
        <w:t xml:space="preserve">The passageway shall be not less than 30 inches (762 mm) high and 22 inches (559 mm) wide and not more than 20 feet (6096 mm) in length measured along the centerline of the passageway from the opening to the </w:t>
      </w:r>
      <w:r>
        <w:rPr>
          <w:rFonts w:ascii="Arial" w:hAnsi="Arial" w:cs="Arial"/>
          <w:i/>
          <w:iCs/>
          <w:color w:val="000000"/>
          <w:sz w:val="16"/>
          <w:szCs w:val="16"/>
          <w:shd w:val="clear" w:color="auto" w:fill="FFFF00"/>
        </w:rPr>
        <w:t>appliance</w:t>
      </w:r>
      <w:r>
        <w:rPr>
          <w:rFonts w:ascii="Arial" w:hAnsi="Arial" w:cs="Arial"/>
          <w:color w:val="000000"/>
          <w:sz w:val="16"/>
          <w:szCs w:val="16"/>
          <w:shd w:val="clear" w:color="auto" w:fill="FFFF00"/>
        </w:rPr>
        <w:t>.</w:t>
      </w:r>
      <w:r>
        <w:rPr>
          <w:rFonts w:ascii="Arial" w:hAnsi="Arial" w:cs="Arial"/>
          <w:color w:val="000000"/>
          <w:sz w:val="16"/>
          <w:szCs w:val="16"/>
        </w:rPr>
        <w:t xml:space="preserve"> The passageway shall have continuous solid flooring not less than 24 inches (610 mm) wide. A level service space not less than 30 inches (762 mm) deep and 30 inches (762 mm) wide shall be present at the front or service side of the </w:t>
      </w:r>
      <w:r>
        <w:rPr>
          <w:rFonts w:ascii="Arial" w:hAnsi="Arial" w:cs="Arial"/>
          <w:i/>
          <w:iCs/>
          <w:color w:val="000000"/>
          <w:sz w:val="16"/>
          <w:szCs w:val="16"/>
        </w:rPr>
        <w:t>appliance</w:t>
      </w:r>
      <w:r>
        <w:rPr>
          <w:rFonts w:ascii="Arial" w:hAnsi="Arial" w:cs="Arial"/>
          <w:color w:val="000000"/>
          <w:sz w:val="16"/>
          <w:szCs w:val="16"/>
        </w:rPr>
        <w:t xml:space="preserve">. The clear access opening dimensions shall be not less than 20 inches by 30 inches (508 mm by 762 mm), and large enough to allow removal of the largest </w:t>
      </w:r>
      <w:r>
        <w:rPr>
          <w:rFonts w:ascii="Arial" w:hAnsi="Arial" w:cs="Arial"/>
          <w:i/>
          <w:iCs/>
          <w:color w:val="000000"/>
          <w:sz w:val="16"/>
          <w:szCs w:val="16"/>
        </w:rPr>
        <w:t>appliance</w:t>
      </w:r>
      <w:r>
        <w:rPr>
          <w:rFonts w:ascii="Arial" w:hAnsi="Arial" w:cs="Arial"/>
          <w:color w:val="000000"/>
          <w:sz w:val="16"/>
          <w:szCs w:val="16"/>
        </w:rPr>
        <w:t>.</w:t>
      </w:r>
    </w:p>
    <w:p w14:paraId="34D2845F" w14:textId="77777777" w:rsidR="00B028A2" w:rsidRDefault="00B028A2" w:rsidP="00B028A2">
      <w:pPr>
        <w:rPr>
          <w:color w:val="000000"/>
          <w:sz w:val="24"/>
          <w:szCs w:val="24"/>
        </w:rPr>
      </w:pPr>
      <w:r>
        <w:rPr>
          <w:rFonts w:ascii="Arial" w:hAnsi="Arial" w:cs="Arial"/>
          <w:b/>
          <w:bCs/>
          <w:color w:val="000000"/>
          <w:sz w:val="16"/>
          <w:szCs w:val="16"/>
        </w:rPr>
        <w:t>Exceptions:</w:t>
      </w:r>
    </w:p>
    <w:p w14:paraId="0B2D0316" w14:textId="77777777" w:rsidR="00B028A2" w:rsidRDefault="00B028A2" w:rsidP="00B028A2">
      <w:pPr>
        <w:ind w:left="123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rPr>
        <w:t>1.</w:t>
      </w:r>
      <w:r>
        <w:rPr>
          <w:rFonts w:ascii="Arial" w:hAnsi="Arial" w:cs="Arial"/>
          <w:color w:val="000000"/>
          <w:sz w:val="16"/>
          <w:szCs w:val="16"/>
        </w:rPr>
        <w:t>The</w:t>
      </w:r>
      <w:proofErr w:type="gramEnd"/>
      <w:r>
        <w:rPr>
          <w:rFonts w:ascii="Arial" w:hAnsi="Arial" w:cs="Arial"/>
          <w:color w:val="000000"/>
          <w:sz w:val="16"/>
          <w:szCs w:val="16"/>
        </w:rPr>
        <w:t xml:space="preserve"> passageway and level service space are not required where the </w:t>
      </w:r>
      <w:r>
        <w:rPr>
          <w:rFonts w:ascii="Arial" w:hAnsi="Arial" w:cs="Arial"/>
          <w:i/>
          <w:iCs/>
          <w:color w:val="000000"/>
          <w:sz w:val="16"/>
          <w:szCs w:val="16"/>
        </w:rPr>
        <w:t>appliance</w:t>
      </w:r>
      <w:r>
        <w:rPr>
          <w:rFonts w:ascii="Arial" w:hAnsi="Arial" w:cs="Arial"/>
          <w:color w:val="000000"/>
          <w:sz w:val="16"/>
          <w:szCs w:val="16"/>
        </w:rPr>
        <w:t xml:space="preserve"> is capable of being serviced and removed through the required opening.</w:t>
      </w:r>
    </w:p>
    <w:p w14:paraId="58DC1CE9" w14:textId="77777777" w:rsidR="00B028A2" w:rsidRDefault="00B028A2" w:rsidP="00B028A2">
      <w:pPr>
        <w:spacing w:after="75"/>
        <w:ind w:left="1230" w:hanging="360"/>
        <w:rPr>
          <w:color w:val="000000"/>
          <w:sz w:val="24"/>
          <w:szCs w:val="24"/>
        </w:rPr>
      </w:pPr>
      <w:r>
        <w:rPr>
          <w:color w:val="000000"/>
          <w:sz w:val="24"/>
          <w:szCs w:val="24"/>
        </w:rPr>
        <w:t>2.</w:t>
      </w:r>
      <w:r>
        <w:rPr>
          <w:color w:val="000000"/>
          <w:sz w:val="14"/>
          <w:szCs w:val="14"/>
        </w:rPr>
        <w:t xml:space="preserve">      </w:t>
      </w:r>
      <w:proofErr w:type="gramStart"/>
      <w:r>
        <w:rPr>
          <w:rFonts w:ascii="Arial" w:hAnsi="Arial" w:cs="Arial"/>
          <w:color w:val="000000"/>
          <w:sz w:val="14"/>
          <w:szCs w:val="14"/>
          <w:shd w:val="clear" w:color="auto" w:fill="FFFF00"/>
        </w:rPr>
        <w:t>2.</w:t>
      </w:r>
      <w:r>
        <w:rPr>
          <w:rFonts w:ascii="Arial" w:hAnsi="Arial" w:cs="Arial"/>
          <w:color w:val="000000"/>
          <w:sz w:val="16"/>
          <w:szCs w:val="16"/>
          <w:shd w:val="clear" w:color="auto" w:fill="FFFF00"/>
        </w:rPr>
        <w:t>Where</w:t>
      </w:r>
      <w:proofErr w:type="gramEnd"/>
      <w:r>
        <w:rPr>
          <w:rFonts w:ascii="Arial" w:hAnsi="Arial" w:cs="Arial"/>
          <w:color w:val="000000"/>
          <w:sz w:val="16"/>
          <w:szCs w:val="16"/>
          <w:shd w:val="clear" w:color="auto" w:fill="FFFF00"/>
        </w:rPr>
        <w:t xml:space="preserve"> the passageway is unobstructed and not less than 6 feet (1829 mm) high and 22 inches (559 mm) wide for its entire length, the passageway shall be not greater than 50 feet (15 250 mm) in length.</w:t>
      </w:r>
    </w:p>
    <w:p w14:paraId="0F4E0026" w14:textId="77777777" w:rsidR="00B028A2" w:rsidRDefault="00B028A2" w:rsidP="00B028A2">
      <w:pPr>
        <w:outlineLvl w:val="0"/>
        <w:rPr>
          <w:color w:val="000000"/>
          <w:sz w:val="24"/>
          <w:szCs w:val="24"/>
        </w:rPr>
      </w:pPr>
      <w:r>
        <w:rPr>
          <w:color w:val="000000"/>
          <w:sz w:val="24"/>
          <w:szCs w:val="24"/>
        </w:rPr>
        <w:t> </w:t>
      </w:r>
    </w:p>
    <w:p w14:paraId="3E685BB1"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Energy Code</w:t>
      </w:r>
    </w:p>
    <w:p w14:paraId="2D2AD373" w14:textId="77777777" w:rsidR="00F265FD" w:rsidRDefault="00F265FD" w:rsidP="00B028A2">
      <w:pPr>
        <w:outlineLvl w:val="0"/>
        <w:rPr>
          <w:color w:val="000000"/>
          <w:sz w:val="24"/>
          <w:szCs w:val="24"/>
        </w:rPr>
      </w:pPr>
    </w:p>
    <w:p w14:paraId="44925D62" w14:textId="77777777" w:rsidR="00B028A2" w:rsidRDefault="00B028A2" w:rsidP="00B028A2">
      <w:pPr>
        <w:outlineLvl w:val="0"/>
        <w:rPr>
          <w:color w:val="000000"/>
          <w:sz w:val="24"/>
          <w:szCs w:val="24"/>
        </w:rPr>
      </w:pPr>
      <w:r>
        <w:rPr>
          <w:rFonts w:ascii="Arial" w:hAnsi="Arial" w:cs="Arial"/>
          <w:b/>
          <w:bCs/>
          <w:color w:val="000000"/>
          <w:kern w:val="36"/>
          <w:sz w:val="14"/>
          <w:szCs w:val="14"/>
        </w:rPr>
        <w:lastRenderedPageBreak/>
        <w:t>R403.3.6Air-handling units.</w:t>
      </w:r>
    </w:p>
    <w:p w14:paraId="3E154867" w14:textId="77777777" w:rsidR="00B028A2" w:rsidRDefault="00B028A2" w:rsidP="00B028A2">
      <w:pPr>
        <w:spacing w:after="120"/>
        <w:rPr>
          <w:color w:val="000000"/>
          <w:sz w:val="24"/>
          <w:szCs w:val="24"/>
        </w:rPr>
      </w:pPr>
      <w:r>
        <w:rPr>
          <w:rFonts w:ascii="Arial" w:hAnsi="Arial" w:cs="Arial"/>
          <w:color w:val="000000"/>
          <w:sz w:val="16"/>
          <w:szCs w:val="16"/>
        </w:rPr>
        <w:t>Air-handling units shall not be installed in the attic when a home is brought into code compliance by Section R402. Air-handling units shall be allowed in attics for compliance by Section R405 only if the following conditions are met:</w:t>
      </w:r>
    </w:p>
    <w:p w14:paraId="51875C0D" w14:textId="77777777" w:rsidR="00B028A2" w:rsidRDefault="00B028A2" w:rsidP="00B028A2">
      <w:pPr>
        <w:ind w:left="87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shd w:val="clear" w:color="auto" w:fill="FFFF00"/>
        </w:rPr>
        <w:t>1.</w:t>
      </w:r>
      <w:r>
        <w:rPr>
          <w:rFonts w:ascii="Arial" w:hAnsi="Arial" w:cs="Arial"/>
          <w:color w:val="000000"/>
          <w:sz w:val="16"/>
          <w:szCs w:val="16"/>
          <w:shd w:val="clear" w:color="auto" w:fill="FFFF00"/>
        </w:rPr>
        <w:t>The</w:t>
      </w:r>
      <w:proofErr w:type="gramEnd"/>
      <w:r>
        <w:rPr>
          <w:rFonts w:ascii="Arial" w:hAnsi="Arial" w:cs="Arial"/>
          <w:color w:val="000000"/>
          <w:sz w:val="16"/>
          <w:szCs w:val="16"/>
          <w:shd w:val="clear" w:color="auto" w:fill="FFFF00"/>
        </w:rPr>
        <w:t xml:space="preserve"> service panel of the equipment is located within 6 feet (1829 mm) of an attic access.</w:t>
      </w:r>
    </w:p>
    <w:p w14:paraId="50E3473F" w14:textId="77777777" w:rsidR="00B028A2" w:rsidRDefault="00B028A2" w:rsidP="00B028A2">
      <w:pPr>
        <w:ind w:left="870" w:hanging="360"/>
        <w:rPr>
          <w:color w:val="000000"/>
          <w:sz w:val="24"/>
          <w:szCs w:val="24"/>
        </w:rPr>
      </w:pPr>
      <w:r>
        <w:rPr>
          <w:color w:val="000000"/>
          <w:sz w:val="24"/>
          <w:szCs w:val="24"/>
        </w:rPr>
        <w:t>2.</w:t>
      </w:r>
      <w:r>
        <w:rPr>
          <w:color w:val="000000"/>
          <w:sz w:val="14"/>
          <w:szCs w:val="14"/>
        </w:rPr>
        <w:t xml:space="preserve"> </w:t>
      </w:r>
      <w:r>
        <w:rPr>
          <w:rFonts w:ascii="Arial" w:hAnsi="Arial" w:cs="Arial"/>
          <w:color w:val="000000"/>
          <w:sz w:val="14"/>
          <w:szCs w:val="14"/>
        </w:rPr>
        <w:t>2.</w:t>
      </w:r>
      <w:r>
        <w:rPr>
          <w:rFonts w:ascii="Arial" w:hAnsi="Arial" w:cs="Arial"/>
          <w:color w:val="000000"/>
          <w:sz w:val="16"/>
          <w:szCs w:val="16"/>
        </w:rPr>
        <w:t>A device is installed to alert the owner or shut down the unit when the condensation drain is not working properly.</w:t>
      </w:r>
    </w:p>
    <w:p w14:paraId="3A3124A3" w14:textId="77777777" w:rsidR="00B028A2" w:rsidRDefault="00B028A2" w:rsidP="00B028A2">
      <w:pPr>
        <w:ind w:left="870" w:hanging="360"/>
        <w:rPr>
          <w:color w:val="000000"/>
          <w:sz w:val="24"/>
          <w:szCs w:val="24"/>
        </w:rPr>
      </w:pPr>
      <w:r>
        <w:rPr>
          <w:color w:val="000000"/>
          <w:sz w:val="24"/>
          <w:szCs w:val="24"/>
        </w:rPr>
        <w:t>3.</w:t>
      </w:r>
      <w:r>
        <w:rPr>
          <w:color w:val="000000"/>
          <w:sz w:val="14"/>
          <w:szCs w:val="14"/>
        </w:rPr>
        <w:t xml:space="preserve"> </w:t>
      </w:r>
      <w:proofErr w:type="gramStart"/>
      <w:r>
        <w:rPr>
          <w:rFonts w:ascii="Arial" w:hAnsi="Arial" w:cs="Arial"/>
          <w:color w:val="000000"/>
          <w:sz w:val="14"/>
          <w:szCs w:val="14"/>
        </w:rPr>
        <w:t>3.</w:t>
      </w:r>
      <w:r>
        <w:rPr>
          <w:rFonts w:ascii="Arial" w:hAnsi="Arial" w:cs="Arial"/>
          <w:color w:val="000000"/>
          <w:sz w:val="16"/>
          <w:szCs w:val="16"/>
        </w:rPr>
        <w:t>The</w:t>
      </w:r>
      <w:proofErr w:type="gramEnd"/>
      <w:r>
        <w:rPr>
          <w:rFonts w:ascii="Arial" w:hAnsi="Arial" w:cs="Arial"/>
          <w:color w:val="000000"/>
          <w:sz w:val="16"/>
          <w:szCs w:val="16"/>
        </w:rPr>
        <w:t xml:space="preserve"> attic access opening is of sufficient size to replace the air handler.</w:t>
      </w:r>
    </w:p>
    <w:p w14:paraId="0A575883" w14:textId="77777777" w:rsidR="00B028A2" w:rsidRDefault="00B028A2" w:rsidP="00B028A2">
      <w:pPr>
        <w:ind w:left="870" w:hanging="360"/>
        <w:rPr>
          <w:color w:val="000000"/>
          <w:sz w:val="24"/>
          <w:szCs w:val="24"/>
        </w:rPr>
      </w:pPr>
      <w:r>
        <w:rPr>
          <w:color w:val="000000"/>
          <w:sz w:val="24"/>
          <w:szCs w:val="24"/>
        </w:rPr>
        <w:t>4.</w:t>
      </w:r>
      <w:r>
        <w:rPr>
          <w:color w:val="000000"/>
          <w:sz w:val="14"/>
          <w:szCs w:val="14"/>
        </w:rPr>
        <w:t xml:space="preserve"> </w:t>
      </w:r>
      <w:r>
        <w:rPr>
          <w:rFonts w:ascii="Arial" w:hAnsi="Arial" w:cs="Arial"/>
          <w:color w:val="000000"/>
          <w:sz w:val="14"/>
          <w:szCs w:val="14"/>
        </w:rPr>
        <w:t>4.</w:t>
      </w:r>
      <w:r>
        <w:rPr>
          <w:rFonts w:ascii="Arial" w:hAnsi="Arial" w:cs="Arial"/>
          <w:color w:val="000000"/>
          <w:sz w:val="16"/>
          <w:szCs w:val="16"/>
        </w:rPr>
        <w:t xml:space="preserve">A notice is posted on the electric service panel indicating to the homeowner that the air handler </w:t>
      </w:r>
      <w:proofErr w:type="gramStart"/>
      <w:r>
        <w:rPr>
          <w:rFonts w:ascii="Arial" w:hAnsi="Arial" w:cs="Arial"/>
          <w:color w:val="000000"/>
          <w:sz w:val="16"/>
          <w:szCs w:val="16"/>
        </w:rPr>
        <w:t>is located in</w:t>
      </w:r>
      <w:proofErr w:type="gramEnd"/>
      <w:r>
        <w:rPr>
          <w:rFonts w:ascii="Arial" w:hAnsi="Arial" w:cs="Arial"/>
          <w:color w:val="000000"/>
          <w:sz w:val="16"/>
          <w:szCs w:val="16"/>
        </w:rPr>
        <w:t xml:space="preserve"> the attic. Said notice shall be in all capitals, in 16-point type, with the title and first paragraph in bold:</w:t>
      </w:r>
    </w:p>
    <w:p w14:paraId="53EB3E27" w14:textId="77777777" w:rsidR="00B028A2" w:rsidRDefault="00B028A2" w:rsidP="00B028A2">
      <w:pPr>
        <w:spacing w:after="120"/>
        <w:jc w:val="center"/>
        <w:rPr>
          <w:color w:val="000000"/>
          <w:sz w:val="24"/>
          <w:szCs w:val="24"/>
        </w:rPr>
      </w:pPr>
      <w:r>
        <w:rPr>
          <w:rFonts w:ascii="Arial" w:hAnsi="Arial" w:cs="Arial"/>
          <w:b/>
          <w:bCs/>
          <w:color w:val="000000"/>
          <w:sz w:val="16"/>
          <w:szCs w:val="16"/>
        </w:rPr>
        <w:t>NOTICE TO HOMEOWNER</w:t>
      </w:r>
    </w:p>
    <w:p w14:paraId="02BC5096" w14:textId="77777777" w:rsidR="00B028A2" w:rsidRDefault="00B028A2" w:rsidP="00B028A2">
      <w:pPr>
        <w:spacing w:after="120"/>
        <w:rPr>
          <w:color w:val="000000"/>
          <w:sz w:val="24"/>
          <w:szCs w:val="24"/>
        </w:rPr>
      </w:pPr>
      <w:r>
        <w:rPr>
          <w:rFonts w:ascii="Arial" w:hAnsi="Arial" w:cs="Arial"/>
          <w:b/>
          <w:bCs/>
          <w:color w:val="000000"/>
          <w:sz w:val="16"/>
          <w:szCs w:val="16"/>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DOWN THE SYSTEM WHEN THE CONDENSATION DRAIN IS NOT WORKING. TO LIMIT POTENTIAL DAMAGE TO YOUR HOME, AND TO AVOID DISRUPTION OF SERVICE, IT IS RECOMMENDED THAT YOU ENSURE PROPER WORKING ORDER OF THESE DEVICES BEFORE EACH SEASON OF PEAK OPERATION.</w:t>
      </w:r>
    </w:p>
    <w:p w14:paraId="0D6C4BFC" w14:textId="77777777" w:rsidR="00B028A2" w:rsidRDefault="00B028A2" w:rsidP="00B028A2">
      <w:pPr>
        <w:rPr>
          <w:color w:val="000000"/>
          <w:sz w:val="24"/>
          <w:szCs w:val="24"/>
        </w:rPr>
      </w:pPr>
      <w:r>
        <w:rPr>
          <w:color w:val="000000"/>
          <w:sz w:val="24"/>
          <w:szCs w:val="24"/>
        </w:rPr>
        <w:t> </w:t>
      </w:r>
    </w:p>
    <w:p w14:paraId="0EABAC96" w14:textId="77777777" w:rsidR="00B028A2" w:rsidRDefault="00B028A2" w:rsidP="00B028A2">
      <w:pPr>
        <w:outlineLvl w:val="0"/>
        <w:rPr>
          <w:color w:val="000000"/>
          <w:sz w:val="24"/>
          <w:szCs w:val="24"/>
        </w:rPr>
      </w:pPr>
      <w:r>
        <w:rPr>
          <w:color w:val="000000"/>
          <w:kern w:val="36"/>
          <w:sz w:val="24"/>
          <w:szCs w:val="24"/>
        </w:rPr>
        <w:t xml:space="preserve">We are suggesting </w:t>
      </w:r>
      <w:proofErr w:type="gramStart"/>
      <w:r>
        <w:rPr>
          <w:color w:val="000000"/>
          <w:kern w:val="36"/>
          <w:sz w:val="24"/>
          <w:szCs w:val="24"/>
        </w:rPr>
        <w:t>to remove</w:t>
      </w:r>
      <w:proofErr w:type="gramEnd"/>
      <w:r>
        <w:rPr>
          <w:color w:val="000000"/>
          <w:kern w:val="36"/>
          <w:sz w:val="24"/>
          <w:szCs w:val="24"/>
        </w:rPr>
        <w:t xml:space="preserve"> line, </w:t>
      </w:r>
      <w:r>
        <w:rPr>
          <w:color w:val="000000"/>
          <w:kern w:val="36"/>
          <w:sz w:val="24"/>
          <w:szCs w:val="24"/>
          <w:shd w:val="clear" w:color="auto" w:fill="FFFF00"/>
        </w:rPr>
        <w:t>1. The service panel of the equipment is located within 6 feet (1829 mm) of an attic access.</w:t>
      </w:r>
      <w:r>
        <w:rPr>
          <w:color w:val="000000"/>
          <w:kern w:val="36"/>
          <w:sz w:val="24"/>
          <w:szCs w:val="24"/>
        </w:rPr>
        <w:t>, from Energy Code</w:t>
      </w:r>
      <w:r>
        <w:rPr>
          <w:color w:val="000000"/>
          <w:kern w:val="36"/>
          <w:sz w:val="16"/>
          <w:szCs w:val="16"/>
        </w:rPr>
        <w:t xml:space="preserve"> </w:t>
      </w:r>
      <w:r>
        <w:rPr>
          <w:color w:val="000000"/>
          <w:kern w:val="36"/>
          <w:sz w:val="24"/>
          <w:szCs w:val="24"/>
        </w:rPr>
        <w:t xml:space="preserve">R403.3.6. </w:t>
      </w:r>
    </w:p>
    <w:p w14:paraId="6B08BD26" w14:textId="77777777" w:rsidR="00B028A2" w:rsidRDefault="00B028A2" w:rsidP="00B028A2">
      <w:pPr>
        <w:outlineLvl w:val="0"/>
        <w:rPr>
          <w:color w:val="000000"/>
          <w:sz w:val="24"/>
          <w:szCs w:val="24"/>
        </w:rPr>
      </w:pPr>
      <w:r>
        <w:rPr>
          <w:color w:val="000000"/>
          <w:kern w:val="36"/>
          <w:sz w:val="24"/>
          <w:szCs w:val="24"/>
        </w:rPr>
        <w:t xml:space="preserve">Reasoning: When air handler units are remotely located </w:t>
      </w:r>
      <w:proofErr w:type="gramStart"/>
      <w:r>
        <w:rPr>
          <w:color w:val="000000"/>
          <w:kern w:val="36"/>
          <w:sz w:val="24"/>
          <w:szCs w:val="24"/>
        </w:rPr>
        <w:t>in an attempt to</w:t>
      </w:r>
      <w:proofErr w:type="gramEnd"/>
      <w:r>
        <w:rPr>
          <w:color w:val="000000"/>
          <w:kern w:val="36"/>
          <w:sz w:val="24"/>
          <w:szCs w:val="24"/>
        </w:rPr>
        <w:t xml:space="preserve"> meet the above highlighted requirement of Energy Code R.403.3.6, this in most scenarios has and will have a negative impact on the overall performance and efficiency of the </w:t>
      </w:r>
      <w:proofErr w:type="spellStart"/>
      <w:r>
        <w:rPr>
          <w:color w:val="000000"/>
          <w:kern w:val="36"/>
          <w:sz w:val="24"/>
          <w:szCs w:val="24"/>
        </w:rPr>
        <w:t>hvac</w:t>
      </w:r>
      <w:proofErr w:type="spellEnd"/>
      <w:r>
        <w:rPr>
          <w:color w:val="000000"/>
          <w:kern w:val="36"/>
          <w:sz w:val="24"/>
          <w:szCs w:val="24"/>
        </w:rPr>
        <w:t xml:space="preserve"> system and home as a whole. One of the greatest energy </w:t>
      </w:r>
      <w:proofErr w:type="gramStart"/>
      <w:r>
        <w:rPr>
          <w:color w:val="000000"/>
          <w:kern w:val="36"/>
          <w:sz w:val="24"/>
          <w:szCs w:val="24"/>
        </w:rPr>
        <w:t>consumers ,</w:t>
      </w:r>
      <w:proofErr w:type="gramEnd"/>
      <w:r>
        <w:rPr>
          <w:color w:val="000000"/>
          <w:kern w:val="36"/>
          <w:sz w:val="24"/>
          <w:szCs w:val="24"/>
        </w:rPr>
        <w:t xml:space="preserve"> problem source, and heat </w:t>
      </w:r>
      <w:proofErr w:type="spellStart"/>
      <w:r>
        <w:rPr>
          <w:color w:val="000000"/>
          <w:kern w:val="36"/>
          <w:sz w:val="24"/>
          <w:szCs w:val="24"/>
        </w:rPr>
        <w:t>gain’s</w:t>
      </w:r>
      <w:proofErr w:type="spellEnd"/>
      <w:r>
        <w:rPr>
          <w:color w:val="000000"/>
          <w:kern w:val="36"/>
          <w:sz w:val="24"/>
          <w:szCs w:val="24"/>
        </w:rPr>
        <w:t xml:space="preserve"> of a home in Florida is the homes duct system being located in a hot attic. However, from a construction standpoint, ducts in attics are unavoidable and we have it in our capacity to not require unnecessary amounts of duct surface area in an attempt to meet </w:t>
      </w:r>
      <w:proofErr w:type="spellStart"/>
      <w:proofErr w:type="gramStart"/>
      <w:r>
        <w:rPr>
          <w:color w:val="000000"/>
          <w:kern w:val="36"/>
          <w:sz w:val="24"/>
          <w:szCs w:val="24"/>
        </w:rPr>
        <w:t>a</w:t>
      </w:r>
      <w:proofErr w:type="spellEnd"/>
      <w:proofErr w:type="gramEnd"/>
      <w:r>
        <w:rPr>
          <w:color w:val="000000"/>
          <w:kern w:val="36"/>
          <w:sz w:val="24"/>
          <w:szCs w:val="24"/>
        </w:rPr>
        <w:t xml:space="preserve"> air handler location requirement. Meeting this in many cases can add twice the duct surface area to an entire duct system simply because large return and supply ducts capable of handling 100% of the systems air volume are required to run from a central location to a </w:t>
      </w:r>
      <w:proofErr w:type="gramStart"/>
      <w:r>
        <w:rPr>
          <w:color w:val="000000"/>
          <w:kern w:val="36"/>
          <w:sz w:val="24"/>
          <w:szCs w:val="24"/>
        </w:rPr>
        <w:t>more lengthy</w:t>
      </w:r>
      <w:proofErr w:type="gramEnd"/>
      <w:r>
        <w:rPr>
          <w:color w:val="000000"/>
          <w:kern w:val="36"/>
          <w:sz w:val="24"/>
          <w:szCs w:val="24"/>
        </w:rPr>
        <w:t xml:space="preserve"> remote location for a code access requirement. </w:t>
      </w:r>
    </w:p>
    <w:p w14:paraId="494D3FA8" w14:textId="77777777" w:rsidR="00B028A2" w:rsidRDefault="00B028A2" w:rsidP="00B028A2">
      <w:pPr>
        <w:outlineLvl w:val="0"/>
        <w:rPr>
          <w:color w:val="000000"/>
          <w:sz w:val="24"/>
          <w:szCs w:val="24"/>
        </w:rPr>
      </w:pPr>
      <w:proofErr w:type="gramStart"/>
      <w:r>
        <w:rPr>
          <w:color w:val="000000"/>
          <w:kern w:val="36"/>
          <w:sz w:val="24"/>
          <w:szCs w:val="24"/>
        </w:rPr>
        <w:t>With this in mind it</w:t>
      </w:r>
      <w:proofErr w:type="gramEnd"/>
      <w:r>
        <w:rPr>
          <w:color w:val="000000"/>
          <w:kern w:val="36"/>
          <w:sz w:val="24"/>
          <w:szCs w:val="24"/>
        </w:rPr>
        <w:t xml:space="preserve"> is completely counter to what Florida law prescribes as the reason for establishing a Florida Energy code to start with. Removing the above highlighted line from Energy Code</w:t>
      </w:r>
      <w:r>
        <w:rPr>
          <w:color w:val="000000"/>
          <w:kern w:val="36"/>
          <w:sz w:val="16"/>
          <w:szCs w:val="16"/>
        </w:rPr>
        <w:t xml:space="preserve"> </w:t>
      </w:r>
      <w:r>
        <w:rPr>
          <w:color w:val="000000"/>
          <w:kern w:val="36"/>
          <w:sz w:val="24"/>
          <w:szCs w:val="24"/>
        </w:rPr>
        <w:t xml:space="preserve">R403.3.6 will positively address this and allow the mechanical code </w:t>
      </w:r>
      <w:proofErr w:type="gramStart"/>
      <w:r>
        <w:rPr>
          <w:color w:val="000000"/>
          <w:kern w:val="36"/>
          <w:sz w:val="24"/>
          <w:szCs w:val="24"/>
        </w:rPr>
        <w:t>prevail</w:t>
      </w:r>
      <w:proofErr w:type="gramEnd"/>
      <w:r>
        <w:rPr>
          <w:color w:val="000000"/>
          <w:kern w:val="36"/>
          <w:sz w:val="24"/>
          <w:szCs w:val="24"/>
        </w:rPr>
        <w:t>.</w:t>
      </w:r>
    </w:p>
    <w:p w14:paraId="338FFCC1" w14:textId="77777777" w:rsidR="00B028A2" w:rsidRDefault="00B028A2" w:rsidP="00B028A2">
      <w:pPr>
        <w:outlineLvl w:val="0"/>
        <w:rPr>
          <w:color w:val="000000"/>
          <w:sz w:val="24"/>
          <w:szCs w:val="24"/>
        </w:rPr>
      </w:pPr>
      <w:r>
        <w:rPr>
          <w:color w:val="000000"/>
          <w:sz w:val="24"/>
          <w:szCs w:val="24"/>
        </w:rPr>
        <w:t> </w:t>
      </w:r>
    </w:p>
    <w:p w14:paraId="021ED55E" w14:textId="77777777" w:rsidR="001D4F44" w:rsidRPr="00DD108E" w:rsidRDefault="001D4F44" w:rsidP="001D4F44">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73EC2CF2" w14:textId="77777777" w:rsidR="001D4F44" w:rsidRPr="00DD108E" w:rsidRDefault="001D4F44" w:rsidP="001D4F44">
      <w:pPr>
        <w:rPr>
          <w:rFonts w:ascii="TimesNewRoman" w:eastAsiaTheme="minorHAnsi" w:hAnsi="TimesNewRoman" w:cs="TimesNewRoman"/>
          <w:sz w:val="20"/>
          <w:szCs w:val="20"/>
          <w14:ligatures w14:val="standardContextual"/>
        </w:rPr>
      </w:pPr>
    </w:p>
    <w:p w14:paraId="468529CA" w14:textId="77777777" w:rsidR="001D4F44" w:rsidRPr="00DD108E" w:rsidRDefault="001D4F44" w:rsidP="001D4F44">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88A8DF7" w14:textId="77777777" w:rsidR="001D4F44" w:rsidRDefault="001D4F44" w:rsidP="00B028A2">
      <w:pPr>
        <w:rPr>
          <w:rFonts w:ascii="TimesNewRoman" w:eastAsiaTheme="minorHAnsi" w:hAnsi="TimesNewRoman" w:cs="TimesNewRoman"/>
          <w:b/>
          <w:bCs/>
          <w:color w:val="FF0000"/>
          <w:sz w:val="20"/>
          <w:szCs w:val="20"/>
          <w14:ligatures w14:val="standardContextual"/>
        </w:rPr>
      </w:pPr>
    </w:p>
    <w:p w14:paraId="11691953" w14:textId="77777777" w:rsidR="001D4F44" w:rsidRDefault="001D4F44" w:rsidP="00B028A2">
      <w:pPr>
        <w:rPr>
          <w:rFonts w:ascii="TimesNewRoman" w:eastAsiaTheme="minorHAnsi" w:hAnsi="TimesNewRoman" w:cs="TimesNewRoman"/>
          <w:b/>
          <w:bCs/>
          <w:color w:val="FF0000"/>
          <w:sz w:val="20"/>
          <w:szCs w:val="20"/>
          <w14:ligatures w14:val="standardContextual"/>
        </w:rPr>
      </w:pPr>
    </w:p>
    <w:p w14:paraId="715BAA07" w14:textId="4674FF0B" w:rsidR="000B64B4" w:rsidRPr="00274F95" w:rsidRDefault="000B64B4" w:rsidP="00B028A2">
      <w:pPr>
        <w:rPr>
          <w:rFonts w:ascii="TimesNewRoman" w:eastAsiaTheme="minorHAnsi" w:hAnsi="TimesNewRoman" w:cs="TimesNewRoman"/>
          <w:b/>
          <w:bCs/>
          <w:color w:val="FF0000"/>
          <w:sz w:val="20"/>
          <w:szCs w:val="20"/>
          <w14:ligatures w14:val="standardContextual"/>
        </w:rPr>
      </w:pPr>
      <w:r w:rsidRPr="00274F95">
        <w:rPr>
          <w:rFonts w:ascii="TimesNewRoman" w:eastAsiaTheme="minorHAnsi" w:hAnsi="TimesNewRoman" w:cs="TimesNewRoman"/>
          <w:b/>
          <w:bCs/>
          <w:color w:val="FF0000"/>
          <w:sz w:val="20"/>
          <w:szCs w:val="20"/>
          <w14:ligatures w14:val="standardContextual"/>
        </w:rPr>
        <w:t>Comment #1:</w:t>
      </w:r>
    </w:p>
    <w:p w14:paraId="15C6D246" w14:textId="77777777" w:rsidR="000B64B4" w:rsidRDefault="000B64B4" w:rsidP="00B028A2">
      <w:pPr>
        <w:rPr>
          <w:rFonts w:ascii="TimesNewRoman" w:eastAsiaTheme="minorHAnsi" w:hAnsi="TimesNewRoman" w:cs="TimesNewRoman"/>
          <w:b/>
          <w:bCs/>
          <w:sz w:val="20"/>
          <w:szCs w:val="20"/>
          <w14:ligatures w14:val="standardContextual"/>
        </w:rPr>
      </w:pPr>
    </w:p>
    <w:p w14:paraId="730391E9" w14:textId="77777777" w:rsidR="000B64B4" w:rsidRDefault="000B64B4" w:rsidP="00B028A2">
      <w:pPr>
        <w:rPr>
          <w:rFonts w:ascii="TimesNewRoman" w:eastAsiaTheme="minorHAnsi" w:hAnsi="TimesNewRoman" w:cs="TimesNewRoman"/>
          <w:b/>
          <w:bCs/>
          <w:sz w:val="20"/>
          <w:szCs w:val="20"/>
          <w14:ligatures w14:val="standardContextual"/>
        </w:rPr>
      </w:pPr>
    </w:p>
    <w:p w14:paraId="2EEBAA9D" w14:textId="77777777" w:rsidR="001B70B1" w:rsidRPr="003B5FBF" w:rsidRDefault="001B70B1" w:rsidP="001B70B1">
      <w:pPr>
        <w:rPr>
          <w:rFonts w:cstheme="minorHAnsi"/>
          <w:sz w:val="24"/>
          <w:szCs w:val="24"/>
        </w:rPr>
      </w:pPr>
      <w:r w:rsidRPr="003B5FBF">
        <w:rPr>
          <w:rFonts w:cstheme="minorHAnsi"/>
          <w:sz w:val="24"/>
          <w:szCs w:val="24"/>
        </w:rPr>
        <w:t>Mo Madani:</w:t>
      </w:r>
    </w:p>
    <w:p w14:paraId="21FD237A" w14:textId="77777777" w:rsidR="001B70B1" w:rsidRPr="003B5FBF" w:rsidRDefault="001B70B1" w:rsidP="001B70B1">
      <w:pPr>
        <w:rPr>
          <w:rFonts w:cstheme="minorHAnsi"/>
          <w:b/>
          <w:bCs/>
          <w:sz w:val="24"/>
          <w:szCs w:val="24"/>
        </w:rPr>
      </w:pPr>
      <w:r w:rsidRPr="003B5FBF">
        <w:rPr>
          <w:rFonts w:cstheme="minorHAnsi"/>
          <w:sz w:val="24"/>
          <w:szCs w:val="24"/>
        </w:rPr>
        <w:t>Please accept my response</w:t>
      </w:r>
      <w:r>
        <w:rPr>
          <w:rFonts w:cstheme="minorHAnsi"/>
          <w:sz w:val="24"/>
          <w:szCs w:val="24"/>
        </w:rPr>
        <w:t xml:space="preserve"> to</w:t>
      </w:r>
      <w:r>
        <w:rPr>
          <w:rFonts w:cstheme="minorHAnsi"/>
          <w:b/>
          <w:bCs/>
          <w:sz w:val="24"/>
          <w:szCs w:val="24"/>
        </w:rPr>
        <w:t xml:space="preserve"> </w:t>
      </w:r>
      <w:r>
        <w:rPr>
          <w:rFonts w:cstheme="minorHAnsi"/>
          <w:sz w:val="24"/>
          <w:szCs w:val="24"/>
        </w:rPr>
        <w:t>“</w:t>
      </w:r>
      <w:r w:rsidRPr="003B5FBF">
        <w:rPr>
          <w:rFonts w:cstheme="minorHAnsi"/>
          <w:color w:val="FF0000"/>
          <w:sz w:val="24"/>
          <w:szCs w:val="24"/>
        </w:rPr>
        <w:t>EN-FBC-EC/R-Ch.4- Glitch #1.</w:t>
      </w:r>
      <w:r>
        <w:rPr>
          <w:rFonts w:cstheme="minorHAnsi"/>
          <w:color w:val="FF0000"/>
          <w:sz w:val="24"/>
          <w:szCs w:val="24"/>
        </w:rPr>
        <w:t>”</w:t>
      </w:r>
      <w:r>
        <w:rPr>
          <w:rFonts w:cstheme="minorHAnsi"/>
          <w:b/>
          <w:bCs/>
          <w:sz w:val="24"/>
          <w:szCs w:val="24"/>
        </w:rPr>
        <w:t>:</w:t>
      </w:r>
    </w:p>
    <w:p w14:paraId="0746BC04" w14:textId="77777777" w:rsidR="001B70B1" w:rsidRPr="004B377D" w:rsidRDefault="001B70B1" w:rsidP="001B70B1">
      <w:pPr>
        <w:rPr>
          <w:rFonts w:cstheme="minorHAnsi"/>
          <w:b/>
          <w:bCs/>
          <w:sz w:val="24"/>
          <w:szCs w:val="24"/>
        </w:rPr>
      </w:pPr>
      <w:r w:rsidRPr="004B377D">
        <w:rPr>
          <w:rFonts w:cstheme="minorHAnsi"/>
          <w:b/>
          <w:bCs/>
          <w:sz w:val="24"/>
          <w:szCs w:val="24"/>
        </w:rPr>
        <w:t>Summary:</w:t>
      </w:r>
    </w:p>
    <w:p w14:paraId="3FA79DE0" w14:textId="77777777" w:rsidR="001B70B1" w:rsidRPr="003B5FBF" w:rsidRDefault="001B70B1" w:rsidP="001B70B1">
      <w:pPr>
        <w:rPr>
          <w:rFonts w:cstheme="minorHAnsi"/>
          <w:sz w:val="24"/>
          <w:szCs w:val="24"/>
        </w:rPr>
      </w:pPr>
      <w:r w:rsidRPr="003B5FBF">
        <w:rPr>
          <w:rFonts w:cstheme="minorHAnsi"/>
          <w:sz w:val="24"/>
          <w:szCs w:val="24"/>
        </w:rPr>
        <w:t>Mr. Bailey claims Section 306.3 of the mechanical code conflicts with Section R403.3.6 of the residential portion of the energy code. I disagree with his assertion because Chapter 14 of the residential building code is what must be used for new residential buildings and not the mechanical code. Chapter 14 of the residential building code 1401.1 clearly sends you to R403.3.6.</w:t>
      </w:r>
      <w:r>
        <w:rPr>
          <w:rFonts w:cstheme="minorHAnsi"/>
          <w:sz w:val="24"/>
          <w:szCs w:val="24"/>
        </w:rPr>
        <w:t xml:space="preserve"> for installation practices.</w:t>
      </w:r>
    </w:p>
    <w:p w14:paraId="1C606B9A" w14:textId="77777777" w:rsidR="001B70B1" w:rsidRPr="00380CEA" w:rsidRDefault="001B70B1" w:rsidP="001B70B1">
      <w:pPr>
        <w:outlineLvl w:val="0"/>
        <w:rPr>
          <w:rFonts w:cstheme="minorHAnsi"/>
          <w:b/>
          <w:bCs/>
          <w:i/>
          <w:iCs/>
          <w:color w:val="FF0000"/>
          <w:kern w:val="36"/>
          <w:sz w:val="24"/>
          <w:szCs w:val="24"/>
        </w:rPr>
      </w:pPr>
      <w:r w:rsidRPr="00380CEA">
        <w:rPr>
          <w:rFonts w:cstheme="minorHAnsi"/>
          <w:b/>
          <w:bCs/>
          <w:i/>
          <w:iCs/>
          <w:color w:val="FF0000"/>
          <w:kern w:val="36"/>
          <w:sz w:val="24"/>
          <w:szCs w:val="24"/>
        </w:rPr>
        <w:t>M1401.1Installation.</w:t>
      </w:r>
    </w:p>
    <w:p w14:paraId="3A0CA287" w14:textId="77777777" w:rsidR="001B70B1" w:rsidRPr="00E92015" w:rsidRDefault="001B70B1" w:rsidP="001B70B1">
      <w:pPr>
        <w:jc w:val="both"/>
        <w:rPr>
          <w:rFonts w:cstheme="minorHAnsi"/>
          <w:i/>
          <w:iCs/>
          <w:color w:val="FF0000"/>
          <w:sz w:val="24"/>
          <w:szCs w:val="24"/>
        </w:rPr>
      </w:pPr>
      <w:r w:rsidRPr="00380CEA">
        <w:rPr>
          <w:rFonts w:cstheme="minorHAnsi"/>
          <w:i/>
          <w:iCs/>
          <w:color w:val="FF0000"/>
          <w:sz w:val="24"/>
          <w:szCs w:val="24"/>
        </w:rPr>
        <w:lastRenderedPageBreak/>
        <w:t>Heating and cooling equipment and appliances shall be installed in accordance with the manufacturer’s instructions and the requirements of this code. Air-handling units installed in attics shall comply with the Florida Building Code, Energy Conservation Section R403.3.6.</w:t>
      </w:r>
    </w:p>
    <w:p w14:paraId="11C3D5A2" w14:textId="77777777" w:rsidR="001B70B1" w:rsidRPr="003B5FBF" w:rsidRDefault="001B70B1" w:rsidP="001B70B1">
      <w:pPr>
        <w:jc w:val="both"/>
        <w:rPr>
          <w:rFonts w:cstheme="minorHAnsi"/>
          <w:sz w:val="24"/>
          <w:szCs w:val="24"/>
        </w:rPr>
      </w:pPr>
    </w:p>
    <w:p w14:paraId="20E7715C" w14:textId="77777777" w:rsidR="001B70B1" w:rsidRPr="003B5FBF" w:rsidRDefault="001B70B1" w:rsidP="001B70B1">
      <w:pPr>
        <w:jc w:val="both"/>
        <w:rPr>
          <w:rFonts w:cstheme="minorHAnsi"/>
          <w:sz w:val="24"/>
          <w:szCs w:val="24"/>
        </w:rPr>
      </w:pPr>
      <w:r w:rsidRPr="003B5FBF">
        <w:rPr>
          <w:rFonts w:cstheme="minorHAnsi"/>
          <w:sz w:val="24"/>
          <w:szCs w:val="24"/>
        </w:rPr>
        <w:t xml:space="preserve">Also, Commercial section C403.2.9 of the Energy Code clearly prohibits air handlers from being installed in attics. </w:t>
      </w:r>
    </w:p>
    <w:p w14:paraId="69F4912A" w14:textId="77777777" w:rsidR="001B70B1" w:rsidRPr="003B5FBF" w:rsidRDefault="001B70B1" w:rsidP="001B70B1">
      <w:pPr>
        <w:jc w:val="both"/>
        <w:rPr>
          <w:rFonts w:cstheme="minorHAnsi"/>
          <w:i/>
          <w:iCs/>
          <w:sz w:val="24"/>
          <w:szCs w:val="24"/>
        </w:rPr>
      </w:pPr>
    </w:p>
    <w:p w14:paraId="6671E1AE" w14:textId="77777777" w:rsidR="001B70B1" w:rsidRPr="003B5FBF" w:rsidRDefault="001B70B1" w:rsidP="001B70B1">
      <w:pPr>
        <w:outlineLvl w:val="0"/>
        <w:rPr>
          <w:rFonts w:cstheme="minorHAnsi"/>
          <w:b/>
          <w:bCs/>
          <w:i/>
          <w:iCs/>
          <w:color w:val="FF0000"/>
          <w:kern w:val="36"/>
          <w:sz w:val="24"/>
          <w:szCs w:val="24"/>
        </w:rPr>
      </w:pPr>
      <w:r w:rsidRPr="003B5FBF">
        <w:rPr>
          <w:rFonts w:cstheme="minorHAnsi"/>
          <w:b/>
          <w:bCs/>
          <w:i/>
          <w:iCs/>
          <w:color w:val="FF0000"/>
          <w:kern w:val="36"/>
          <w:sz w:val="24"/>
          <w:szCs w:val="24"/>
        </w:rPr>
        <w:t>C403.2.9.6Air-handling units.</w:t>
      </w:r>
    </w:p>
    <w:p w14:paraId="39EBBFDB" w14:textId="77777777" w:rsidR="001B70B1" w:rsidRPr="00E92015" w:rsidRDefault="001B70B1" w:rsidP="001B70B1">
      <w:pPr>
        <w:spacing w:after="120"/>
        <w:jc w:val="both"/>
        <w:rPr>
          <w:rFonts w:cstheme="minorHAnsi"/>
          <w:i/>
          <w:iCs/>
          <w:color w:val="FF0000"/>
          <w:sz w:val="24"/>
          <w:szCs w:val="24"/>
        </w:rPr>
      </w:pPr>
      <w:r w:rsidRPr="003B5FBF">
        <w:rPr>
          <w:rFonts w:cstheme="minorHAnsi"/>
          <w:i/>
          <w:iCs/>
          <w:color w:val="FF0000"/>
          <w:sz w:val="24"/>
          <w:szCs w:val="24"/>
        </w:rPr>
        <w:t xml:space="preserve">Air-handling units shall not be allowed in </w:t>
      </w:r>
      <w:r w:rsidRPr="00E92015">
        <w:rPr>
          <w:rFonts w:cstheme="minorHAnsi"/>
          <w:i/>
          <w:iCs/>
          <w:color w:val="FF0000"/>
          <w:sz w:val="24"/>
          <w:szCs w:val="24"/>
        </w:rPr>
        <w:t xml:space="preserve">the </w:t>
      </w:r>
      <w:r w:rsidRPr="003B5FBF">
        <w:rPr>
          <w:rFonts w:cstheme="minorHAnsi"/>
          <w:i/>
          <w:iCs/>
          <w:color w:val="FF0000"/>
          <w:sz w:val="24"/>
          <w:szCs w:val="24"/>
        </w:rPr>
        <w:t>attics of commercial buildings.</w:t>
      </w:r>
    </w:p>
    <w:p w14:paraId="242C00C3" w14:textId="77777777" w:rsidR="001B70B1" w:rsidRDefault="001B70B1" w:rsidP="001B70B1">
      <w:pPr>
        <w:spacing w:after="120"/>
        <w:jc w:val="both"/>
        <w:rPr>
          <w:rFonts w:cstheme="minorHAnsi"/>
          <w:sz w:val="24"/>
          <w:szCs w:val="24"/>
        </w:rPr>
      </w:pPr>
      <w:r>
        <w:rPr>
          <w:rFonts w:cstheme="minorHAnsi"/>
          <w:sz w:val="24"/>
          <w:szCs w:val="24"/>
        </w:rPr>
        <w:t>Mr. Bailey also claims that section R403.3.6 of the energy code violates Florida law because the location of the air handler in the attic is not an energy issue. I disagree with this assertion. Placing the air handler 20 feet away from the attic hatch places an undue burden on the maintenance of the air handler. Poor air handler maintenance is a chief cause of increased energy use. No homeowner wants to climb 20 feet into a hot attic to change a filter, service a drain, or clean a coil. Placing the unit 20 feet away from the attic hatch also increases the cost-of-service call and that will also discourage a homeowner from having it serviced. This will also waste energy.</w:t>
      </w:r>
    </w:p>
    <w:p w14:paraId="47260844" w14:textId="77777777" w:rsidR="001B70B1" w:rsidRDefault="001B70B1" w:rsidP="001B70B1">
      <w:pPr>
        <w:spacing w:after="120"/>
        <w:jc w:val="both"/>
        <w:rPr>
          <w:rFonts w:cstheme="minorHAnsi"/>
          <w:sz w:val="24"/>
          <w:szCs w:val="24"/>
        </w:rPr>
      </w:pPr>
      <w:r>
        <w:rPr>
          <w:rFonts w:cstheme="minorHAnsi"/>
          <w:sz w:val="24"/>
          <w:szCs w:val="24"/>
        </w:rPr>
        <w:t xml:space="preserve">My recommendation is to revise mechanical code section 306.3 by deleting the word “Attic” and replacing it with the words “Concealed locations”. </w:t>
      </w:r>
      <w:r w:rsidRPr="00E17360">
        <w:rPr>
          <w:rFonts w:cstheme="minorHAnsi"/>
          <w:i/>
          <w:iCs/>
          <w:sz w:val="24"/>
          <w:szCs w:val="24"/>
        </w:rPr>
        <w:t>Concealed location</w:t>
      </w:r>
      <w:r>
        <w:rPr>
          <w:rFonts w:cstheme="minorHAnsi"/>
          <w:sz w:val="24"/>
          <w:szCs w:val="24"/>
        </w:rPr>
        <w:t xml:space="preserve"> is defined in the mechanical code and </w:t>
      </w:r>
      <w:r w:rsidRPr="00E17360">
        <w:rPr>
          <w:rFonts w:cstheme="minorHAnsi"/>
          <w:i/>
          <w:iCs/>
          <w:sz w:val="24"/>
          <w:szCs w:val="24"/>
        </w:rPr>
        <w:t>Attic</w:t>
      </w:r>
      <w:r>
        <w:rPr>
          <w:rFonts w:cstheme="minorHAnsi"/>
          <w:sz w:val="24"/>
          <w:szCs w:val="24"/>
        </w:rPr>
        <w:t xml:space="preserve"> is defined in the energy code. These terms are different.</w:t>
      </w:r>
    </w:p>
    <w:p w14:paraId="1917E0DD" w14:textId="77777777" w:rsidR="001B70B1" w:rsidRPr="00D467CB" w:rsidRDefault="001B70B1" w:rsidP="001B70B1">
      <w:pPr>
        <w:outlineLvl w:val="0"/>
        <w:rPr>
          <w:rFonts w:cstheme="minorHAnsi"/>
          <w:i/>
          <w:iCs/>
          <w:color w:val="FF0000"/>
          <w:sz w:val="24"/>
          <w:szCs w:val="24"/>
        </w:rPr>
      </w:pPr>
      <w:r w:rsidRPr="00256155">
        <w:rPr>
          <w:rFonts w:cstheme="minorHAnsi"/>
          <w:i/>
          <w:iCs/>
          <w:color w:val="FF0000"/>
          <w:sz w:val="24"/>
          <w:szCs w:val="24"/>
        </w:rPr>
        <w:t>306.3 Appliances</w:t>
      </w:r>
      <w:r w:rsidRPr="00D467CB">
        <w:rPr>
          <w:rFonts w:cstheme="minorHAnsi"/>
          <w:i/>
          <w:iCs/>
          <w:color w:val="FF0000"/>
          <w:sz w:val="24"/>
          <w:szCs w:val="24"/>
        </w:rPr>
        <w:t xml:space="preserve"> in </w:t>
      </w:r>
      <w:r w:rsidRPr="001372FC">
        <w:rPr>
          <w:rFonts w:cstheme="minorHAnsi"/>
          <w:i/>
          <w:iCs/>
          <w:strike/>
          <w:color w:val="4472C4" w:themeColor="accent1"/>
          <w:sz w:val="24"/>
          <w:szCs w:val="24"/>
        </w:rPr>
        <w:t>attics.</w:t>
      </w:r>
      <w:r w:rsidRPr="001372FC">
        <w:rPr>
          <w:rFonts w:cstheme="minorHAnsi"/>
          <w:i/>
          <w:iCs/>
          <w:color w:val="4472C4" w:themeColor="accent1"/>
          <w:sz w:val="24"/>
          <w:szCs w:val="24"/>
          <w:u w:val="single"/>
        </w:rPr>
        <w:t xml:space="preserve"> </w:t>
      </w:r>
      <w:r w:rsidRPr="00256155">
        <w:rPr>
          <w:rFonts w:cstheme="minorHAnsi"/>
          <w:i/>
          <w:iCs/>
          <w:color w:val="4472C4" w:themeColor="accent1"/>
          <w:sz w:val="24"/>
          <w:szCs w:val="24"/>
          <w:u w:val="single"/>
        </w:rPr>
        <w:t xml:space="preserve">Concealed </w:t>
      </w:r>
      <w:r>
        <w:rPr>
          <w:rFonts w:cstheme="minorHAnsi"/>
          <w:i/>
          <w:iCs/>
          <w:color w:val="4472C4" w:themeColor="accent1"/>
          <w:sz w:val="24"/>
          <w:szCs w:val="24"/>
          <w:u w:val="single"/>
        </w:rPr>
        <w:t>locations</w:t>
      </w:r>
    </w:p>
    <w:p w14:paraId="441A2EB0" w14:textId="77777777" w:rsidR="001B70B1" w:rsidRPr="00D467CB" w:rsidRDefault="001B70B1" w:rsidP="001B70B1">
      <w:pPr>
        <w:jc w:val="both"/>
        <w:rPr>
          <w:rFonts w:cstheme="minorHAnsi"/>
          <w:i/>
          <w:iCs/>
          <w:color w:val="FF0000"/>
          <w:sz w:val="24"/>
          <w:szCs w:val="24"/>
        </w:rPr>
      </w:pPr>
      <w:r w:rsidRPr="00256155">
        <w:rPr>
          <w:rFonts w:cstheme="minorHAnsi"/>
          <w:i/>
          <w:iCs/>
          <w:strike/>
          <w:color w:val="4472C4" w:themeColor="accent1"/>
          <w:sz w:val="24"/>
          <w:szCs w:val="24"/>
        </w:rPr>
        <w:t>Attics</w:t>
      </w:r>
      <w:r w:rsidRPr="00256155">
        <w:rPr>
          <w:rFonts w:cstheme="minorHAnsi"/>
          <w:i/>
          <w:iCs/>
          <w:color w:val="4472C4" w:themeColor="accent1"/>
          <w:sz w:val="24"/>
          <w:szCs w:val="24"/>
        </w:rPr>
        <w:t xml:space="preserve"> </w:t>
      </w:r>
      <w:r w:rsidRPr="00256155">
        <w:rPr>
          <w:rFonts w:cstheme="minorHAnsi"/>
          <w:i/>
          <w:iCs/>
          <w:color w:val="4472C4" w:themeColor="accent1"/>
          <w:sz w:val="24"/>
          <w:szCs w:val="24"/>
          <w:u w:val="single"/>
        </w:rPr>
        <w:t xml:space="preserve">Concealed </w:t>
      </w:r>
      <w:r>
        <w:rPr>
          <w:rFonts w:cstheme="minorHAnsi"/>
          <w:i/>
          <w:iCs/>
          <w:color w:val="4472C4" w:themeColor="accent1"/>
          <w:sz w:val="24"/>
          <w:szCs w:val="24"/>
          <w:u w:val="single"/>
        </w:rPr>
        <w:t>locations</w:t>
      </w:r>
      <w:r w:rsidRPr="00256155">
        <w:rPr>
          <w:rFonts w:cstheme="minorHAnsi"/>
          <w:i/>
          <w:iCs/>
          <w:color w:val="4472C4" w:themeColor="accent1"/>
          <w:sz w:val="24"/>
          <w:szCs w:val="24"/>
        </w:rPr>
        <w:t xml:space="preserve"> </w:t>
      </w:r>
      <w:r w:rsidRPr="00D467CB">
        <w:rPr>
          <w:rFonts w:cstheme="minorHAnsi"/>
          <w:i/>
          <w:iCs/>
          <w:color w:val="FF0000"/>
          <w:sz w:val="24"/>
          <w:szCs w:val="24"/>
        </w:rPr>
        <w:t>containing appliances shall be provided with an opening and unobstructed passageway large enough to allow removal of the largest appliance. The passageway shall be not less than 30 inches (762 mm) high and 22 inches (559 mm) wide and not more than 20 feet (6096 mm) in length measured along the centerline of the passageway from the opening to the appliance. The passageway shall have continuous solid flooring not less than 24 inches (610 mm) wide. A level service space not less than 30 inches (762 mm) deep and 30 inches (762 mm) wide shall be present at the front or service side of the appliance. The clear access opening dimensions shall be not less than 20 inches by 30 inches (508 mm by 762 mm), and large enough to allow removal of the largest appliance.</w:t>
      </w:r>
    </w:p>
    <w:p w14:paraId="3B7DFCD1" w14:textId="77777777" w:rsidR="001B70B1" w:rsidRPr="00D467CB" w:rsidRDefault="001B70B1" w:rsidP="001B70B1">
      <w:pPr>
        <w:jc w:val="both"/>
        <w:rPr>
          <w:rFonts w:cstheme="minorHAnsi"/>
          <w:i/>
          <w:iCs/>
          <w:color w:val="FF0000"/>
          <w:sz w:val="24"/>
          <w:szCs w:val="24"/>
        </w:rPr>
      </w:pPr>
      <w:r w:rsidRPr="00D467CB">
        <w:rPr>
          <w:rFonts w:cstheme="minorHAnsi"/>
          <w:i/>
          <w:iCs/>
          <w:color w:val="FF0000"/>
          <w:sz w:val="24"/>
          <w:szCs w:val="24"/>
        </w:rPr>
        <w:t>Exceptions:</w:t>
      </w:r>
    </w:p>
    <w:p w14:paraId="6B58A076" w14:textId="77777777" w:rsidR="001B70B1" w:rsidRPr="00D467CB" w:rsidRDefault="001B70B1" w:rsidP="001B70B1">
      <w:pPr>
        <w:widowControl/>
        <w:numPr>
          <w:ilvl w:val="0"/>
          <w:numId w:val="4"/>
        </w:numPr>
        <w:autoSpaceDE/>
        <w:autoSpaceDN/>
        <w:ind w:left="1230"/>
        <w:jc w:val="both"/>
        <w:rPr>
          <w:rFonts w:cstheme="minorHAnsi"/>
          <w:i/>
          <w:iCs/>
          <w:color w:val="FF0000"/>
          <w:sz w:val="24"/>
          <w:szCs w:val="24"/>
        </w:rPr>
      </w:pPr>
      <w:r w:rsidRPr="00D467CB">
        <w:rPr>
          <w:rFonts w:cstheme="minorHAnsi"/>
          <w:i/>
          <w:iCs/>
          <w:color w:val="FF0000"/>
          <w:sz w:val="24"/>
          <w:szCs w:val="24"/>
        </w:rPr>
        <w:t>1.The passageway and level service space are not required where the appliance is capable of being serviced and removed through the required opening.</w:t>
      </w:r>
    </w:p>
    <w:p w14:paraId="4210B418" w14:textId="77777777" w:rsidR="001B70B1" w:rsidRPr="00256155" w:rsidRDefault="001B70B1" w:rsidP="001B70B1">
      <w:pPr>
        <w:widowControl/>
        <w:numPr>
          <w:ilvl w:val="0"/>
          <w:numId w:val="4"/>
        </w:numPr>
        <w:autoSpaceDE/>
        <w:autoSpaceDN/>
        <w:spacing w:after="75"/>
        <w:ind w:left="1230"/>
        <w:jc w:val="both"/>
        <w:rPr>
          <w:rFonts w:cstheme="minorHAnsi"/>
          <w:i/>
          <w:iCs/>
          <w:color w:val="FF0000"/>
          <w:sz w:val="24"/>
          <w:szCs w:val="24"/>
        </w:rPr>
      </w:pPr>
      <w:r w:rsidRPr="00D467CB">
        <w:rPr>
          <w:rFonts w:cstheme="minorHAnsi"/>
          <w:i/>
          <w:iCs/>
          <w:color w:val="FF0000"/>
          <w:sz w:val="24"/>
          <w:szCs w:val="24"/>
        </w:rPr>
        <w:t>2.Where the passageway is unobstructed and not less than 6 feet (1829 mm) high and 22 inches (559 mm) wide for its entire length, the passageway shall be not greater than 50 feet (15 250 mm) in length.</w:t>
      </w:r>
    </w:p>
    <w:p w14:paraId="15D9E5D9" w14:textId="77777777" w:rsidR="001B70B1" w:rsidRDefault="001B70B1" w:rsidP="001B70B1">
      <w:pPr>
        <w:spacing w:after="75"/>
        <w:jc w:val="both"/>
        <w:rPr>
          <w:rFonts w:cstheme="minorHAnsi"/>
          <w:i/>
          <w:iCs/>
          <w:sz w:val="24"/>
          <w:szCs w:val="24"/>
        </w:rPr>
      </w:pPr>
    </w:p>
    <w:p w14:paraId="6353633D" w14:textId="77777777" w:rsidR="001B70B1" w:rsidRDefault="001B70B1" w:rsidP="001B70B1">
      <w:pPr>
        <w:spacing w:after="75"/>
        <w:jc w:val="both"/>
        <w:rPr>
          <w:rFonts w:cstheme="minorHAnsi"/>
          <w:sz w:val="24"/>
          <w:szCs w:val="24"/>
        </w:rPr>
      </w:pPr>
      <w:r>
        <w:rPr>
          <w:rFonts w:cstheme="minorHAnsi"/>
          <w:sz w:val="24"/>
          <w:szCs w:val="24"/>
        </w:rPr>
        <w:t>This small change in wording would clear up any conflict in the code because:</w:t>
      </w:r>
    </w:p>
    <w:p w14:paraId="1112F7DA"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falls within the glitch criteria.</w:t>
      </w:r>
    </w:p>
    <w:p w14:paraId="1FBB0DC2"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has a Florida-specific need.</w:t>
      </w:r>
    </w:p>
    <w:p w14:paraId="660BA1B8"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No impact is on small businesses.</w:t>
      </w:r>
    </w:p>
    <w:p w14:paraId="6747EC4E"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lastRenderedPageBreak/>
        <w:t xml:space="preserve">The proposed code change has a reasonable and substantial connection with the health, safety, and welfare of the </w:t>
      </w:r>
      <w:proofErr w:type="gramStart"/>
      <w:r>
        <w:rPr>
          <w:rFonts w:ascii="Verdana" w:hAnsi="Verdana"/>
          <w:color w:val="000000"/>
          <w:sz w:val="20"/>
          <w:szCs w:val="20"/>
        </w:rPr>
        <w:t>general public</w:t>
      </w:r>
      <w:proofErr w:type="gramEnd"/>
      <w:r>
        <w:rPr>
          <w:rFonts w:ascii="Verdana" w:hAnsi="Verdana"/>
          <w:color w:val="000000"/>
          <w:sz w:val="20"/>
          <w:szCs w:val="20"/>
        </w:rPr>
        <w:t>.</w:t>
      </w:r>
    </w:p>
    <w:p w14:paraId="4D414BB8"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strengthens and improves the Florida Building Code.</w:t>
      </w:r>
    </w:p>
    <w:p w14:paraId="5D02B473"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does not discriminate against materials, products, methods, or systems of construction of demonstrated capabilities.</w:t>
      </w:r>
    </w:p>
    <w:p w14:paraId="4BD17B1D"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 xml:space="preserve">The proposed code change does not degrade the effectiveness of the Florida Building Code. </w:t>
      </w:r>
    </w:p>
    <w:p w14:paraId="3E6CF17C" w14:textId="77777777" w:rsidR="001B70B1" w:rsidRDefault="001B70B1" w:rsidP="001B70B1">
      <w:pPr>
        <w:spacing w:after="75"/>
        <w:jc w:val="both"/>
        <w:rPr>
          <w:rFonts w:cstheme="minorHAnsi"/>
          <w:sz w:val="24"/>
          <w:szCs w:val="24"/>
        </w:rPr>
      </w:pPr>
    </w:p>
    <w:p w14:paraId="7478F5BD" w14:textId="77777777" w:rsidR="001B70B1" w:rsidRDefault="001B70B1" w:rsidP="001B70B1">
      <w:pPr>
        <w:spacing w:after="75"/>
        <w:jc w:val="both"/>
        <w:rPr>
          <w:rFonts w:cstheme="minorHAnsi"/>
          <w:sz w:val="24"/>
          <w:szCs w:val="24"/>
        </w:rPr>
      </w:pPr>
      <w:r>
        <w:rPr>
          <w:rFonts w:cstheme="minorHAnsi"/>
          <w:sz w:val="24"/>
          <w:szCs w:val="24"/>
        </w:rPr>
        <w:t xml:space="preserve">Respectfully, </w:t>
      </w:r>
    </w:p>
    <w:p w14:paraId="5F784FBD" w14:textId="77777777" w:rsidR="001B70B1" w:rsidRDefault="001B70B1" w:rsidP="001B70B1">
      <w:pPr>
        <w:spacing w:after="75"/>
        <w:jc w:val="both"/>
        <w:rPr>
          <w:rFonts w:cstheme="minorHAnsi"/>
          <w:sz w:val="24"/>
          <w:szCs w:val="24"/>
        </w:rPr>
      </w:pPr>
      <w:r>
        <w:rPr>
          <w:rFonts w:cstheme="minorHAnsi"/>
          <w:noProof/>
          <w:sz w:val="24"/>
          <w:szCs w:val="24"/>
        </w:rPr>
        <w:drawing>
          <wp:inline distT="0" distB="0" distL="0" distR="0" wp14:anchorId="2236A10C" wp14:editId="24CD11AB">
            <wp:extent cx="1627632" cy="548640"/>
            <wp:effectExtent l="0" t="0" r="0" b="3810"/>
            <wp:docPr id="192110450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4505"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632" cy="548640"/>
                    </a:xfrm>
                    <a:prstGeom prst="rect">
                      <a:avLst/>
                    </a:prstGeom>
                  </pic:spPr>
                </pic:pic>
              </a:graphicData>
            </a:graphic>
          </wp:inline>
        </w:drawing>
      </w:r>
    </w:p>
    <w:p w14:paraId="2597FE12" w14:textId="77777777" w:rsidR="001B70B1" w:rsidRDefault="001B70B1" w:rsidP="001B70B1">
      <w:pPr>
        <w:spacing w:after="75"/>
        <w:jc w:val="both"/>
        <w:rPr>
          <w:rFonts w:cstheme="minorHAnsi"/>
          <w:sz w:val="24"/>
          <w:szCs w:val="24"/>
        </w:rPr>
      </w:pPr>
      <w:r>
        <w:rPr>
          <w:rFonts w:cstheme="minorHAnsi"/>
          <w:sz w:val="24"/>
          <w:szCs w:val="24"/>
        </w:rPr>
        <w:t>Timothy de Carion</w:t>
      </w:r>
    </w:p>
    <w:p w14:paraId="52FACE68" w14:textId="77777777" w:rsidR="001B70B1" w:rsidRDefault="001B70B1" w:rsidP="001B70B1">
      <w:pPr>
        <w:spacing w:after="75"/>
        <w:jc w:val="both"/>
        <w:rPr>
          <w:rFonts w:cstheme="minorHAnsi"/>
          <w:sz w:val="24"/>
          <w:szCs w:val="24"/>
        </w:rPr>
      </w:pPr>
      <w:r>
        <w:rPr>
          <w:rFonts w:cstheme="minorHAnsi"/>
          <w:sz w:val="24"/>
          <w:szCs w:val="24"/>
        </w:rPr>
        <w:t>Chief Energy Code Compliance Officer</w:t>
      </w:r>
    </w:p>
    <w:p w14:paraId="7ACD4BC3" w14:textId="77777777" w:rsidR="001B70B1" w:rsidRDefault="001B70B1" w:rsidP="001B70B1">
      <w:pPr>
        <w:spacing w:after="75"/>
        <w:jc w:val="both"/>
        <w:rPr>
          <w:rFonts w:cstheme="minorHAnsi"/>
          <w:sz w:val="24"/>
          <w:szCs w:val="24"/>
        </w:rPr>
      </w:pPr>
      <w:r>
        <w:rPr>
          <w:rFonts w:cstheme="minorHAnsi"/>
          <w:sz w:val="24"/>
          <w:szCs w:val="24"/>
        </w:rPr>
        <w:t>Broward County Board of Rules and Appeals</w:t>
      </w:r>
    </w:p>
    <w:p w14:paraId="30E06BD5" w14:textId="77777777" w:rsidR="001B70B1" w:rsidRDefault="001B70B1" w:rsidP="001B70B1">
      <w:pPr>
        <w:spacing w:after="75"/>
        <w:jc w:val="both"/>
        <w:rPr>
          <w:rFonts w:cstheme="minorHAnsi"/>
          <w:sz w:val="24"/>
          <w:szCs w:val="24"/>
        </w:rPr>
      </w:pPr>
    </w:p>
    <w:p w14:paraId="07FD2DD8" w14:textId="77777777" w:rsidR="001D4F44" w:rsidRDefault="001D4F44" w:rsidP="001D4F44">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2 – </w:t>
      </w:r>
    </w:p>
    <w:p w14:paraId="16D45CC9" w14:textId="77777777" w:rsidR="001D4F44" w:rsidRDefault="001D4F44" w:rsidP="001D4F44">
      <w:pPr>
        <w:rPr>
          <w:rFonts w:ascii="TimesNewRoman" w:eastAsiaTheme="minorHAnsi" w:hAnsi="TimesNewRoman" w:cs="TimesNewRoman"/>
          <w:b/>
          <w:bCs/>
          <w:color w:val="FF0000"/>
          <w:sz w:val="20"/>
          <w:szCs w:val="20"/>
          <w:u w:val="single"/>
        </w:rPr>
      </w:pPr>
    </w:p>
    <w:p w14:paraId="6BF85007" w14:textId="77777777" w:rsidR="001D4F44" w:rsidRDefault="001D4F44" w:rsidP="001D4F44">
      <w:pPr>
        <w:rPr>
          <w:b/>
          <w:bCs/>
        </w:rPr>
      </w:pPr>
      <w:r>
        <w:rPr>
          <w:b/>
          <w:bCs/>
        </w:rPr>
        <w:t>BOAF Building Officials Association of Florida CDC Code Development Committee</w:t>
      </w:r>
    </w:p>
    <w:p w14:paraId="3023018C" w14:textId="77777777" w:rsidR="001D4F44" w:rsidRDefault="001D4F44" w:rsidP="001D4F44">
      <w:pPr>
        <w:widowControl/>
        <w:adjustRightInd w:val="0"/>
        <w:rPr>
          <w:rFonts w:ascii="Arial,Bold" w:eastAsiaTheme="minorHAnsi" w:hAnsi="Arial,Bold" w:cs="Arial,Bold"/>
          <w:b/>
          <w:bCs/>
          <w14:ligatures w14:val="standardContextual"/>
        </w:rPr>
      </w:pPr>
    </w:p>
    <w:p w14:paraId="49FF2C01" w14:textId="77777777" w:rsidR="001D4F44" w:rsidRDefault="001D4F44" w:rsidP="001D4F44">
      <w:pPr>
        <w:rPr>
          <w:b/>
          <w:bCs/>
        </w:rPr>
      </w:pPr>
      <w:r>
        <w:rPr>
          <w:b/>
          <w:bCs/>
        </w:rPr>
        <w:t>Proposal:</w:t>
      </w:r>
      <w:r>
        <w:rPr>
          <w:b/>
          <w:bCs/>
        </w:rPr>
        <w:tab/>
      </w:r>
      <w:r>
        <w:rPr>
          <w:b/>
          <w:bCs/>
        </w:rPr>
        <w:tab/>
        <w:t xml:space="preserve">Remove max </w:t>
      </w:r>
      <w:proofErr w:type="gramStart"/>
      <w:r>
        <w:rPr>
          <w:b/>
          <w:bCs/>
        </w:rPr>
        <w:t>6 foot</w:t>
      </w:r>
      <w:proofErr w:type="gramEnd"/>
      <w:r>
        <w:rPr>
          <w:b/>
          <w:bCs/>
        </w:rPr>
        <w:t xml:space="preserve"> equipment location from access from FAC and just use FBCM for requirement which is 20 feet and exception allows 50 feet</w:t>
      </w:r>
    </w:p>
    <w:p w14:paraId="5D47FB87" w14:textId="77777777" w:rsidR="001D4F44" w:rsidRDefault="001D4F44" w:rsidP="001D4F44">
      <w:pPr>
        <w:rPr>
          <w:b/>
          <w:bCs/>
        </w:rPr>
      </w:pPr>
      <w:r>
        <w:rPr>
          <w:b/>
          <w:bCs/>
        </w:rPr>
        <w:t>Comment:</w:t>
      </w:r>
      <w:r>
        <w:rPr>
          <w:b/>
          <w:bCs/>
        </w:rPr>
        <w:tab/>
      </w:r>
      <w:r>
        <w:rPr>
          <w:b/>
          <w:bCs/>
        </w:rPr>
        <w:tab/>
        <w:t>Need to use energy code more stringent criteria over the FBCM</w:t>
      </w:r>
    </w:p>
    <w:p w14:paraId="2D8949BA" w14:textId="77777777" w:rsidR="001D4F44" w:rsidRDefault="001D4F44" w:rsidP="001D4F44">
      <w:r>
        <w:rPr>
          <w:b/>
          <w:bCs/>
        </w:rPr>
        <w:t>Approve/Oppose:</w:t>
      </w:r>
      <w:r>
        <w:rPr>
          <w:b/>
          <w:bCs/>
        </w:rPr>
        <w:tab/>
      </w:r>
      <w:r w:rsidRPr="00467F79">
        <w:rPr>
          <w:b/>
          <w:bCs/>
          <w:highlight w:val="yellow"/>
        </w:rPr>
        <w:t>Oppose</w:t>
      </w:r>
    </w:p>
    <w:p w14:paraId="2C9584C0" w14:textId="77777777" w:rsidR="001B70B1" w:rsidRDefault="001B70B1" w:rsidP="001B70B1">
      <w:pPr>
        <w:spacing w:after="75"/>
        <w:jc w:val="both"/>
        <w:rPr>
          <w:rFonts w:cstheme="minorHAnsi"/>
          <w:sz w:val="24"/>
          <w:szCs w:val="24"/>
        </w:rPr>
      </w:pPr>
    </w:p>
    <w:p w14:paraId="3008CD1E" w14:textId="77777777" w:rsidR="00B028A2" w:rsidRPr="00DD108E" w:rsidRDefault="00B028A2" w:rsidP="00B028A2">
      <w:pPr>
        <w:rPr>
          <w:rFonts w:ascii="TimesNewRoman" w:eastAsiaTheme="minorHAnsi" w:hAnsi="TimesNewRoman" w:cs="TimesNewRoman"/>
          <w:b/>
          <w:bCs/>
          <w:sz w:val="20"/>
          <w:szCs w:val="20"/>
          <w14:ligatures w14:val="standardContextual"/>
        </w:rPr>
      </w:pPr>
    </w:p>
    <w:p w14:paraId="269B1E56" w14:textId="5D734EE0" w:rsidR="00932664" w:rsidRPr="00B45751" w:rsidRDefault="00B45751" w:rsidP="00B45751">
      <w:pPr>
        <w:widowControl/>
        <w:adjustRightInd w:val="0"/>
      </w:pPr>
      <w:r w:rsidRPr="00B45751">
        <w:rPr>
          <w:rFonts w:ascii="Arial,Bold" w:eastAsiaTheme="minorHAnsi" w:hAnsi="Arial,Bold" w:cs="Arial,Bold"/>
          <w:b/>
          <w:bCs/>
          <w14:ligatures w14:val="standardContextual"/>
        </w:rPr>
        <w:t>CHAPTER 6 [RE]</w:t>
      </w:r>
      <w:r>
        <w:rPr>
          <w:rFonts w:ascii="Arial,Bold" w:eastAsiaTheme="minorHAnsi" w:hAnsi="Arial,Bold" w:cs="Arial,Bold"/>
          <w:b/>
          <w:bCs/>
          <w14:ligatures w14:val="standardContextual"/>
        </w:rPr>
        <w:t xml:space="preserve"> </w:t>
      </w:r>
      <w:r w:rsidRPr="00B45751">
        <w:rPr>
          <w:rFonts w:ascii="Arial,Bold" w:eastAsiaTheme="minorHAnsi" w:hAnsi="Arial,Bold" w:cs="Arial,Bold"/>
          <w:b/>
          <w:bCs/>
          <w14:ligatures w14:val="standardContextual"/>
        </w:rPr>
        <w:t>REFERENCED STANDARDS</w:t>
      </w:r>
    </w:p>
    <w:p w14:paraId="7E488ADA" w14:textId="77777777" w:rsidR="00B45751" w:rsidRDefault="00B45751"/>
    <w:p w14:paraId="5023E6CD" w14:textId="34B94760" w:rsidR="00AA06D4" w:rsidRDefault="00AA06D4">
      <w:pPr>
        <w:rPr>
          <w:color w:val="FF0000"/>
        </w:rPr>
      </w:pPr>
      <w:r w:rsidRPr="004F30F5">
        <w:rPr>
          <w:color w:val="FF0000"/>
        </w:rPr>
        <w:t>EN-FBC-EC/R</w:t>
      </w:r>
      <w:r w:rsidR="00A42A20">
        <w:rPr>
          <w:color w:val="FF0000"/>
        </w:rPr>
        <w:t xml:space="preserve"> – Ch. 6</w:t>
      </w:r>
      <w:r w:rsidRPr="004F30F5">
        <w:rPr>
          <w:color w:val="FF0000"/>
        </w:rPr>
        <w:t xml:space="preserve"> </w:t>
      </w:r>
      <w:r w:rsidR="004F30F5" w:rsidRPr="004F30F5">
        <w:rPr>
          <w:color w:val="FF0000"/>
        </w:rPr>
        <w:t>–</w:t>
      </w:r>
      <w:r w:rsidRPr="004F30F5">
        <w:rPr>
          <w:color w:val="FF0000"/>
        </w:rPr>
        <w:t xml:space="preserve"> </w:t>
      </w:r>
      <w:r w:rsidR="004F30F5" w:rsidRPr="004F30F5">
        <w:rPr>
          <w:color w:val="FF0000"/>
        </w:rPr>
        <w:t xml:space="preserve">Errata </w:t>
      </w:r>
      <w:r w:rsidR="00A42A20">
        <w:rPr>
          <w:color w:val="FF0000"/>
        </w:rPr>
        <w:t>#1</w:t>
      </w:r>
    </w:p>
    <w:p w14:paraId="7E4C6EC5" w14:textId="77777777" w:rsidR="004F30F5" w:rsidRDefault="004F30F5">
      <w:pPr>
        <w:rPr>
          <w:color w:val="FF0000"/>
        </w:rPr>
      </w:pPr>
    </w:p>
    <w:p w14:paraId="6F1DAE25" w14:textId="2D0AE20B" w:rsidR="004F30F5" w:rsidRDefault="00550BD8">
      <w:pPr>
        <w:rPr>
          <w:b/>
          <w:bCs/>
          <w:color w:val="000000" w:themeColor="text1"/>
        </w:rPr>
      </w:pPr>
      <w:r>
        <w:rPr>
          <w:b/>
          <w:bCs/>
          <w:color w:val="000000" w:themeColor="text1"/>
        </w:rPr>
        <w:t>Jeff Sonne – FSEC</w:t>
      </w:r>
    </w:p>
    <w:p w14:paraId="7AF4B319" w14:textId="77777777" w:rsidR="00550BD8" w:rsidRDefault="00550BD8">
      <w:pPr>
        <w:rPr>
          <w:b/>
          <w:bCs/>
          <w:color w:val="000000" w:themeColor="text1"/>
        </w:rPr>
      </w:pPr>
    </w:p>
    <w:p w14:paraId="59CFE869" w14:textId="77777777" w:rsidR="00550BD8" w:rsidRDefault="00550BD8" w:rsidP="00550BD8">
      <w:pPr>
        <w:pStyle w:val="PlainText"/>
      </w:pPr>
      <w:r>
        <w:t>In the Referenced Standards section of the 2023 FL Energy Code, the ANSI/RESNET/ICC 380 standard is shown as being the 2016 version under ANSI, but the 2019 version under RESNET.</w:t>
      </w:r>
    </w:p>
    <w:p w14:paraId="1813F4EA" w14:textId="77777777" w:rsidR="00550BD8" w:rsidRDefault="00550BD8" w:rsidP="00550BD8">
      <w:pPr>
        <w:pStyle w:val="PlainText"/>
      </w:pPr>
    </w:p>
    <w:p w14:paraId="16F90339" w14:textId="201EC358" w:rsidR="00550BD8" w:rsidRDefault="00550BD8">
      <w:pPr>
        <w:rPr>
          <w:b/>
          <w:bCs/>
          <w:color w:val="000000" w:themeColor="text1"/>
        </w:rPr>
      </w:pPr>
      <w:r>
        <w:rPr>
          <w:b/>
          <w:bCs/>
          <w:color w:val="000000" w:themeColor="text1"/>
        </w:rPr>
        <w:t>Proposed fix by staff:</w:t>
      </w:r>
    </w:p>
    <w:p w14:paraId="3607DC94" w14:textId="77777777" w:rsidR="00550BD8" w:rsidRDefault="00550BD8">
      <w:pPr>
        <w:rPr>
          <w:b/>
          <w:bCs/>
          <w:color w:val="000000" w:themeColor="text1"/>
        </w:rPr>
      </w:pPr>
    </w:p>
    <w:p w14:paraId="06DB7A5B" w14:textId="047B539C" w:rsidR="00550BD8" w:rsidRDefault="00B45751">
      <w:pPr>
        <w:rPr>
          <w:color w:val="000000" w:themeColor="text1"/>
        </w:rPr>
      </w:pPr>
      <w:r>
        <w:rPr>
          <w:color w:val="000000" w:themeColor="text1"/>
        </w:rPr>
        <w:t>For consistency r</w:t>
      </w:r>
      <w:r w:rsidR="00550BD8">
        <w:rPr>
          <w:color w:val="000000" w:themeColor="text1"/>
        </w:rPr>
        <w:t>evise ANSI/RESNET/ICC</w:t>
      </w:r>
      <w:r>
        <w:rPr>
          <w:color w:val="000000" w:themeColor="text1"/>
        </w:rPr>
        <w:t xml:space="preserve"> 380 as follows:</w:t>
      </w:r>
    </w:p>
    <w:p w14:paraId="4F18DFCC" w14:textId="77777777" w:rsidR="00B45751" w:rsidRDefault="00B45751">
      <w:pPr>
        <w:rPr>
          <w:color w:val="000000" w:themeColor="text1"/>
        </w:rPr>
      </w:pPr>
    </w:p>
    <w:p w14:paraId="6D326CEB" w14:textId="77777777" w:rsidR="00B45751" w:rsidRDefault="00B45751" w:rsidP="00B45751">
      <w:pPr>
        <w:widowControl/>
        <w:adjustRightInd w:val="0"/>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 xml:space="preserve">ANSI/RESNET/           Standard for Testing Airtightness of Building Enclosures, Airtightness of Heating and Cooling Air    </w:t>
      </w:r>
    </w:p>
    <w:p w14:paraId="75B8B3D1" w14:textId="01664E53" w:rsidR="00B45751" w:rsidRDefault="00B45751" w:rsidP="00B45751">
      <w:pPr>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ICC 380—201</w:t>
      </w:r>
      <w:r w:rsidRPr="00B45751">
        <w:rPr>
          <w:rFonts w:ascii="TimesNewRoman" w:eastAsiaTheme="minorHAnsi" w:hAnsi="TimesNewRoman" w:cs="TimesNewRoman"/>
          <w:strike/>
          <w:sz w:val="18"/>
          <w:szCs w:val="18"/>
          <w14:ligatures w14:val="standardContextual"/>
        </w:rPr>
        <w:t>6</w:t>
      </w:r>
      <w:r w:rsidRPr="00B45751">
        <w:rPr>
          <w:rFonts w:ascii="TimesNewRoman" w:eastAsiaTheme="minorHAnsi" w:hAnsi="TimesNewRoman" w:cs="TimesNewRoman"/>
          <w:sz w:val="18"/>
          <w:szCs w:val="18"/>
          <w:u w:val="single"/>
          <w14:ligatures w14:val="standardContextual"/>
        </w:rPr>
        <w:t>9</w:t>
      </w:r>
      <w:r>
        <w:rPr>
          <w:rFonts w:ascii="TimesNewRoman" w:eastAsiaTheme="minorHAnsi" w:hAnsi="TimesNewRoman" w:cs="TimesNewRoman"/>
          <w:sz w:val="18"/>
          <w:szCs w:val="18"/>
          <w14:ligatures w14:val="standardContextual"/>
        </w:rPr>
        <w:t xml:space="preserve">           Distribution Systems and Airflow of Mechanical Ventilation Systems</w:t>
      </w:r>
    </w:p>
    <w:p w14:paraId="78C88717" w14:textId="77777777" w:rsidR="0073365F" w:rsidRPr="0073365F" w:rsidRDefault="0073365F" w:rsidP="00B45751">
      <w:pPr>
        <w:rPr>
          <w:rFonts w:ascii="TimesNewRoman" w:eastAsiaTheme="minorHAnsi" w:hAnsi="TimesNewRoman" w:cs="TimesNewRoman"/>
          <w:b/>
          <w:bCs/>
          <w:sz w:val="18"/>
          <w:szCs w:val="18"/>
          <w14:ligatures w14:val="standardContextual"/>
        </w:rPr>
      </w:pPr>
    </w:p>
    <w:p w14:paraId="7A0AF55E" w14:textId="4B93489F" w:rsidR="0073365F" w:rsidRPr="00DD108E" w:rsidRDefault="0073365F" w:rsidP="00B45751">
      <w:pPr>
        <w:rPr>
          <w:rFonts w:ascii="TimesNewRoman" w:eastAsiaTheme="minorHAnsi" w:hAnsi="TimesNewRoman" w:cs="TimesNewRoman"/>
          <w:sz w:val="20"/>
          <w:szCs w:val="20"/>
          <w14:ligatures w14:val="standardContextual"/>
        </w:rPr>
      </w:pPr>
      <w:bookmarkStart w:id="12" w:name="_Hlk147933659"/>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p>
    <w:p w14:paraId="3748E014" w14:textId="77777777" w:rsidR="0073365F" w:rsidRPr="00DD108E" w:rsidRDefault="0073365F" w:rsidP="00B45751">
      <w:pPr>
        <w:rPr>
          <w:rFonts w:ascii="TimesNewRoman" w:eastAsiaTheme="minorHAnsi" w:hAnsi="TimesNewRoman" w:cs="TimesNewRoman"/>
          <w:sz w:val="20"/>
          <w:szCs w:val="20"/>
          <w14:ligatures w14:val="standardContextual"/>
        </w:rPr>
      </w:pPr>
    </w:p>
    <w:p w14:paraId="1F7E1409" w14:textId="5673C173" w:rsidR="0073365F" w:rsidRDefault="0073365F" w:rsidP="00B45751">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781448D6" w14:textId="736C0F05" w:rsidR="00B165D0" w:rsidRDefault="00B165D0" w:rsidP="00B165D0">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lastRenderedPageBreak/>
        <w:t xml:space="preserve">Comment </w:t>
      </w:r>
    </w:p>
    <w:p w14:paraId="3D3B4290" w14:textId="77777777" w:rsidR="00B165D0" w:rsidRDefault="00B165D0" w:rsidP="00B165D0">
      <w:pPr>
        <w:rPr>
          <w:rFonts w:ascii="TimesNewRoman" w:eastAsiaTheme="minorHAnsi" w:hAnsi="TimesNewRoman" w:cs="TimesNewRoman"/>
          <w:b/>
          <w:bCs/>
          <w:color w:val="FF0000"/>
          <w:sz w:val="20"/>
          <w:szCs w:val="20"/>
          <w:u w:val="single"/>
        </w:rPr>
      </w:pPr>
    </w:p>
    <w:p w14:paraId="25755BDD" w14:textId="77777777" w:rsidR="00B165D0" w:rsidRDefault="00B165D0" w:rsidP="00B165D0">
      <w:pPr>
        <w:rPr>
          <w:b/>
          <w:bCs/>
        </w:rPr>
      </w:pPr>
      <w:r>
        <w:rPr>
          <w:b/>
          <w:bCs/>
        </w:rPr>
        <w:t>BOAF Building Officials Association of Florida CDC Code Development Committee</w:t>
      </w:r>
    </w:p>
    <w:p w14:paraId="470BF4B2" w14:textId="77777777" w:rsidR="00B165D0" w:rsidRPr="00DD108E" w:rsidRDefault="00B165D0" w:rsidP="00B45751">
      <w:pPr>
        <w:rPr>
          <w:rFonts w:ascii="TimesNewRoman" w:eastAsiaTheme="minorHAnsi" w:hAnsi="TimesNewRoman" w:cs="TimesNewRoman"/>
          <w:b/>
          <w:bCs/>
          <w:sz w:val="20"/>
          <w:szCs w:val="20"/>
          <w14:ligatures w14:val="standardContextual"/>
        </w:rPr>
      </w:pPr>
    </w:p>
    <w:bookmarkEnd w:id="12"/>
    <w:p w14:paraId="031ED7FE" w14:textId="77777777" w:rsidR="00B165D0" w:rsidRDefault="00B165D0" w:rsidP="00B165D0">
      <w:pPr>
        <w:rPr>
          <w:b/>
          <w:bCs/>
        </w:rPr>
      </w:pPr>
      <w:r>
        <w:rPr>
          <w:b/>
          <w:bCs/>
        </w:rPr>
        <w:t>Proposal:</w:t>
      </w:r>
      <w:r>
        <w:rPr>
          <w:b/>
          <w:bCs/>
        </w:rPr>
        <w:tab/>
      </w:r>
      <w:r>
        <w:rPr>
          <w:b/>
          <w:bCs/>
        </w:rPr>
        <w:tab/>
        <w:t>fix reference RESNET/ICC 380-2016 to 2019</w:t>
      </w:r>
    </w:p>
    <w:p w14:paraId="5150D276" w14:textId="77777777" w:rsidR="00B165D0" w:rsidRDefault="00B165D0" w:rsidP="00B165D0">
      <w:pPr>
        <w:rPr>
          <w:b/>
          <w:bCs/>
        </w:rPr>
      </w:pPr>
      <w:r>
        <w:rPr>
          <w:b/>
          <w:bCs/>
        </w:rPr>
        <w:t>Comment:</w:t>
      </w:r>
      <w:r>
        <w:rPr>
          <w:b/>
          <w:bCs/>
        </w:rPr>
        <w:tab/>
      </w:r>
      <w:r>
        <w:rPr>
          <w:b/>
          <w:bCs/>
        </w:rPr>
        <w:tab/>
        <w:t>Agree with update</w:t>
      </w:r>
    </w:p>
    <w:p w14:paraId="24A6D2A3" w14:textId="77777777" w:rsidR="00B165D0" w:rsidRDefault="00B165D0" w:rsidP="00B165D0">
      <w:r>
        <w:rPr>
          <w:b/>
          <w:bCs/>
        </w:rPr>
        <w:t>Approve/Oppose:</w:t>
      </w:r>
      <w:r>
        <w:rPr>
          <w:b/>
          <w:bCs/>
        </w:rPr>
        <w:tab/>
      </w:r>
      <w:r>
        <w:rPr>
          <w:b/>
          <w:bCs/>
          <w:highlight w:val="yellow"/>
        </w:rPr>
        <w:t>Approve</w:t>
      </w:r>
    </w:p>
    <w:p w14:paraId="2B63F97E" w14:textId="77777777" w:rsidR="00C93092" w:rsidRPr="0073365F" w:rsidRDefault="00C93092" w:rsidP="00B45751">
      <w:pPr>
        <w:rPr>
          <w:rFonts w:ascii="TimesNewRoman" w:eastAsiaTheme="minorHAnsi" w:hAnsi="TimesNewRoman" w:cs="TimesNewRoman"/>
          <w:b/>
          <w:bCs/>
          <w:sz w:val="18"/>
          <w:szCs w:val="18"/>
          <w14:ligatures w14:val="standardContextual"/>
        </w:rPr>
      </w:pPr>
    </w:p>
    <w:sectPr w:rsidR="00C93092" w:rsidRPr="007336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CBAD" w14:textId="77777777" w:rsidR="00207030" w:rsidRDefault="00207030" w:rsidP="00207030">
      <w:r>
        <w:separator/>
      </w:r>
    </w:p>
  </w:endnote>
  <w:endnote w:type="continuationSeparator" w:id="0">
    <w:p w14:paraId="4D59854F" w14:textId="77777777" w:rsidR="00207030" w:rsidRDefault="00207030" w:rsidP="0020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A20" w14:textId="77777777" w:rsidR="00207030" w:rsidRDefault="0020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832030"/>
      <w:docPartObj>
        <w:docPartGallery w:val="Page Numbers (Bottom of Page)"/>
        <w:docPartUnique/>
      </w:docPartObj>
    </w:sdtPr>
    <w:sdtEndPr>
      <w:rPr>
        <w:noProof/>
      </w:rPr>
    </w:sdtEndPr>
    <w:sdtContent>
      <w:p w14:paraId="326B06DD" w14:textId="5FCCE85A" w:rsidR="00207030" w:rsidRDefault="00207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A8C0B" w14:textId="77777777" w:rsidR="00207030" w:rsidRDefault="00207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D3C" w14:textId="77777777" w:rsidR="00207030" w:rsidRDefault="0020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FF49" w14:textId="77777777" w:rsidR="00207030" w:rsidRDefault="00207030" w:rsidP="00207030">
      <w:r>
        <w:separator/>
      </w:r>
    </w:p>
  </w:footnote>
  <w:footnote w:type="continuationSeparator" w:id="0">
    <w:p w14:paraId="4BD68687" w14:textId="77777777" w:rsidR="00207030" w:rsidRDefault="00207030" w:rsidP="0020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571E" w14:textId="77777777" w:rsidR="00207030" w:rsidRDefault="0020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BF5" w14:textId="77777777" w:rsidR="00207030" w:rsidRDefault="00207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5B31" w14:textId="77777777" w:rsidR="00207030" w:rsidRDefault="0020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D6213"/>
    <w:multiLevelType w:val="multilevel"/>
    <w:tmpl w:val="79E2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871188">
    <w:abstractNumId w:val="1"/>
  </w:num>
  <w:num w:numId="2" w16cid:durableId="1331257453">
    <w:abstractNumId w:val="2"/>
  </w:num>
  <w:num w:numId="3" w16cid:durableId="302465238">
    <w:abstractNumId w:val="0"/>
  </w:num>
  <w:num w:numId="4" w16cid:durableId="146495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D4"/>
    <w:rsid w:val="00022CFA"/>
    <w:rsid w:val="000B64B4"/>
    <w:rsid w:val="000C5810"/>
    <w:rsid w:val="001922F7"/>
    <w:rsid w:val="001B70B1"/>
    <w:rsid w:val="001D4F44"/>
    <w:rsid w:val="00207030"/>
    <w:rsid w:val="00273243"/>
    <w:rsid w:val="00274F95"/>
    <w:rsid w:val="003632A7"/>
    <w:rsid w:val="00464149"/>
    <w:rsid w:val="004F30F5"/>
    <w:rsid w:val="00550BD8"/>
    <w:rsid w:val="005B5300"/>
    <w:rsid w:val="005E63E4"/>
    <w:rsid w:val="006B3D4C"/>
    <w:rsid w:val="0072164D"/>
    <w:rsid w:val="00726B50"/>
    <w:rsid w:val="0073365F"/>
    <w:rsid w:val="007E0C3F"/>
    <w:rsid w:val="00925CED"/>
    <w:rsid w:val="00932664"/>
    <w:rsid w:val="009466DA"/>
    <w:rsid w:val="00A42A20"/>
    <w:rsid w:val="00AA06D4"/>
    <w:rsid w:val="00B028A2"/>
    <w:rsid w:val="00B165D0"/>
    <w:rsid w:val="00B439F9"/>
    <w:rsid w:val="00B45751"/>
    <w:rsid w:val="00B5534C"/>
    <w:rsid w:val="00B6570A"/>
    <w:rsid w:val="00C81799"/>
    <w:rsid w:val="00C93092"/>
    <w:rsid w:val="00D45DC8"/>
    <w:rsid w:val="00DD108E"/>
    <w:rsid w:val="00E72BFE"/>
    <w:rsid w:val="00F265FD"/>
    <w:rsid w:val="00F319E9"/>
    <w:rsid w:val="00F8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954"/>
  <w15:chartTrackingRefBased/>
  <w15:docId w15:val="{3695990A-C2B0-4F5B-8B6A-36DB93EF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6D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0BD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550BD8"/>
    <w:rPr>
      <w:rFonts w:ascii="Calibri" w:eastAsia="Times New Roman" w:hAnsi="Calibri"/>
      <w:szCs w:val="21"/>
    </w:rPr>
  </w:style>
  <w:style w:type="paragraph" w:styleId="NormalWeb">
    <w:name w:val="Normal (Web)"/>
    <w:basedOn w:val="Normal"/>
    <w:uiPriority w:val="99"/>
    <w:rsid w:val="00B439F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B028A2"/>
    <w:rPr>
      <w:color w:val="0563C1" w:themeColor="hyperlink"/>
      <w:u w:val="single"/>
    </w:rPr>
  </w:style>
  <w:style w:type="paragraph" w:styleId="Header">
    <w:name w:val="header"/>
    <w:basedOn w:val="Normal"/>
    <w:link w:val="HeaderChar"/>
    <w:uiPriority w:val="99"/>
    <w:unhideWhenUsed/>
    <w:rsid w:val="00207030"/>
    <w:pPr>
      <w:tabs>
        <w:tab w:val="center" w:pos="4680"/>
        <w:tab w:val="right" w:pos="9360"/>
      </w:tabs>
    </w:pPr>
  </w:style>
  <w:style w:type="character" w:customStyle="1" w:styleId="HeaderChar">
    <w:name w:val="Header Char"/>
    <w:basedOn w:val="DefaultParagraphFont"/>
    <w:link w:val="Header"/>
    <w:uiPriority w:val="99"/>
    <w:rsid w:val="0020703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7030"/>
    <w:pPr>
      <w:tabs>
        <w:tab w:val="center" w:pos="4680"/>
        <w:tab w:val="right" w:pos="9360"/>
      </w:tabs>
    </w:pPr>
  </w:style>
  <w:style w:type="character" w:customStyle="1" w:styleId="FooterChar">
    <w:name w:val="Footer Char"/>
    <w:basedOn w:val="DefaultParagraphFont"/>
    <w:link w:val="Footer"/>
    <w:uiPriority w:val="99"/>
    <w:rsid w:val="0020703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949">
      <w:bodyDiv w:val="1"/>
      <w:marLeft w:val="0"/>
      <w:marRight w:val="0"/>
      <w:marTop w:val="0"/>
      <w:marBottom w:val="0"/>
      <w:divBdr>
        <w:top w:val="none" w:sz="0" w:space="0" w:color="auto"/>
        <w:left w:val="none" w:sz="0" w:space="0" w:color="auto"/>
        <w:bottom w:val="none" w:sz="0" w:space="0" w:color="auto"/>
        <w:right w:val="none" w:sz="0" w:space="0" w:color="auto"/>
      </w:divBdr>
    </w:div>
    <w:div w:id="759061861">
      <w:bodyDiv w:val="1"/>
      <w:marLeft w:val="0"/>
      <w:marRight w:val="0"/>
      <w:marTop w:val="0"/>
      <w:marBottom w:val="0"/>
      <w:divBdr>
        <w:top w:val="none" w:sz="0" w:space="0" w:color="auto"/>
        <w:left w:val="none" w:sz="0" w:space="0" w:color="auto"/>
        <w:bottom w:val="none" w:sz="0" w:space="0" w:color="auto"/>
        <w:right w:val="none" w:sz="0" w:space="0" w:color="auto"/>
      </w:divBdr>
    </w:div>
    <w:div w:id="971324325">
      <w:bodyDiv w:val="1"/>
      <w:marLeft w:val="0"/>
      <w:marRight w:val="0"/>
      <w:marTop w:val="0"/>
      <w:marBottom w:val="0"/>
      <w:divBdr>
        <w:top w:val="none" w:sz="0" w:space="0" w:color="auto"/>
        <w:left w:val="none" w:sz="0" w:space="0" w:color="auto"/>
        <w:bottom w:val="none" w:sz="0" w:space="0" w:color="auto"/>
        <w:right w:val="none" w:sz="0" w:space="0" w:color="auto"/>
      </w:divBdr>
    </w:div>
    <w:div w:id="992833728">
      <w:bodyDiv w:val="1"/>
      <w:marLeft w:val="0"/>
      <w:marRight w:val="0"/>
      <w:marTop w:val="0"/>
      <w:marBottom w:val="0"/>
      <w:divBdr>
        <w:top w:val="none" w:sz="0" w:space="0" w:color="auto"/>
        <w:left w:val="none" w:sz="0" w:space="0" w:color="auto"/>
        <w:bottom w:val="none" w:sz="0" w:space="0" w:color="auto"/>
        <w:right w:val="none" w:sz="0" w:space="0" w:color="auto"/>
      </w:divBdr>
    </w:div>
    <w:div w:id="1281378537">
      <w:bodyDiv w:val="1"/>
      <w:marLeft w:val="0"/>
      <w:marRight w:val="0"/>
      <w:marTop w:val="0"/>
      <w:marBottom w:val="0"/>
      <w:divBdr>
        <w:top w:val="none" w:sz="0" w:space="0" w:color="auto"/>
        <w:left w:val="none" w:sz="0" w:space="0" w:color="auto"/>
        <w:bottom w:val="none" w:sz="0" w:space="0" w:color="auto"/>
        <w:right w:val="none" w:sz="0" w:space="0" w:color="auto"/>
      </w:divBdr>
    </w:div>
    <w:div w:id="1286548613">
      <w:bodyDiv w:val="1"/>
      <w:marLeft w:val="0"/>
      <w:marRight w:val="0"/>
      <w:marTop w:val="0"/>
      <w:marBottom w:val="0"/>
      <w:divBdr>
        <w:top w:val="none" w:sz="0" w:space="0" w:color="auto"/>
        <w:left w:val="none" w:sz="0" w:space="0" w:color="auto"/>
        <w:bottom w:val="none" w:sz="0" w:space="0" w:color="auto"/>
        <w:right w:val="none" w:sz="0" w:space="0" w:color="auto"/>
      </w:divBdr>
    </w:div>
    <w:div w:id="1790859577">
      <w:bodyDiv w:val="1"/>
      <w:marLeft w:val="0"/>
      <w:marRight w:val="0"/>
      <w:marTop w:val="0"/>
      <w:marBottom w:val="0"/>
      <w:divBdr>
        <w:top w:val="none" w:sz="0" w:space="0" w:color="auto"/>
        <w:left w:val="none" w:sz="0" w:space="0" w:color="auto"/>
        <w:bottom w:val="none" w:sz="0" w:space="0" w:color="auto"/>
        <w:right w:val="none" w:sz="0" w:space="0" w:color="auto"/>
      </w:divBdr>
    </w:div>
    <w:div w:id="17987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11</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21</cp:revision>
  <dcterms:created xsi:type="dcterms:W3CDTF">2023-10-09T20:42:00Z</dcterms:created>
  <dcterms:modified xsi:type="dcterms:W3CDTF">2023-12-18T00:52:00Z</dcterms:modified>
</cp:coreProperties>
</file>